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2434" w:rsidR="002E2A08" w:rsidRDefault="002E2A08" w14:paraId="7A3549BB" w14:textId="77777777">
      <w:pPr>
        <w:outlineLvl w:val="0"/>
        <w:rPr>
          <w:rFonts w:cs="Arial"/>
          <w:sz w:val="44"/>
          <w:szCs w:val="44"/>
        </w:rPr>
      </w:pPr>
    </w:p>
    <w:p w:rsidRPr="00532434" w:rsidR="00A01255" w:rsidP="00BD2A8D" w:rsidRDefault="007A370A" w14:paraId="695A7328" w14:textId="66796EEE">
      <w:pPr>
        <w:pStyle w:val="Heading1"/>
        <w:rPr>
          <w:noProof/>
        </w:rPr>
      </w:pPr>
      <w:r w:rsidRPr="00532434">
        <w:rPr>
          <w:b w:val="0"/>
          <w:bCs w:val="0"/>
          <w:noProof/>
          <w:sz w:val="48"/>
          <w:szCs w:val="48"/>
        </w:rPr>
        <w:t>Suffolk County Council</w:t>
      </w:r>
      <w:r w:rsidRPr="00532434">
        <w:rPr>
          <w:noProof/>
          <w:sz w:val="48"/>
          <w:szCs w:val="48"/>
        </w:rPr>
        <w:t xml:space="preserve"> </w:t>
      </w:r>
      <w:r w:rsidRPr="00532434" w:rsidR="006E5D70">
        <w:rPr>
          <w:noProof/>
        </w:rPr>
        <w:drawing>
          <wp:inline distT="0" distB="0" distL="0" distR="0" wp14:anchorId="31D6DF22" wp14:editId="15E57C57">
            <wp:extent cx="2047875" cy="657225"/>
            <wp:effectExtent l="0" t="0" r="0" b="0"/>
            <wp:docPr id="1" name="Picture 1" descr="Suffolk County Council logo. The logo is the Suffolk County coat of arms with the text Suffolk County Council,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ffolk County Council logo. The logo is the Suffolk County coat of arms with the text Suffolk County Council, in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57225"/>
                    </a:xfrm>
                    <a:prstGeom prst="rect">
                      <a:avLst/>
                    </a:prstGeom>
                    <a:noFill/>
                    <a:ln>
                      <a:noFill/>
                    </a:ln>
                  </pic:spPr>
                </pic:pic>
              </a:graphicData>
            </a:graphic>
          </wp:inline>
        </w:drawing>
      </w:r>
    </w:p>
    <w:p w:rsidRPr="00532434" w:rsidR="00A01255" w:rsidP="00BD2A8D" w:rsidRDefault="00A01255" w14:paraId="4E00B8D8" w14:textId="77777777">
      <w:pPr>
        <w:rPr>
          <w:rFonts w:cs="Arial"/>
        </w:rPr>
      </w:pPr>
    </w:p>
    <w:p w:rsidRPr="00532434" w:rsidR="00A01255" w:rsidP="00BD2A8D" w:rsidRDefault="00A01255" w14:paraId="0CC02537" w14:textId="77777777">
      <w:pPr>
        <w:rPr>
          <w:rFonts w:cs="Arial"/>
        </w:rPr>
      </w:pPr>
    </w:p>
    <w:p w:rsidRPr="00532434" w:rsidR="00A01255" w:rsidP="00BD2A8D" w:rsidRDefault="00A01255" w14:paraId="095A1566" w14:textId="5BA18337">
      <w:pPr>
        <w:pStyle w:val="Heading1"/>
      </w:pPr>
      <w:r w:rsidRPr="00532434">
        <w:rPr>
          <w:sz w:val="96"/>
          <w:szCs w:val="96"/>
        </w:rPr>
        <w:t>Enforcement Policy</w:t>
      </w:r>
    </w:p>
    <w:p w:rsidRPr="00532434" w:rsidR="00A61CAB" w:rsidP="00BD2A8D" w:rsidRDefault="00A61CAB" w14:paraId="3B5885F1" w14:textId="77777777">
      <w:pPr>
        <w:rPr>
          <w:rFonts w:cs="Arial"/>
          <w:b/>
          <w:bCs/>
          <w:i/>
          <w:iCs/>
        </w:rPr>
      </w:pPr>
    </w:p>
    <w:p w:rsidRPr="00532434" w:rsidR="00A61CAB" w:rsidP="00BD2A8D" w:rsidRDefault="00A61CAB" w14:paraId="6BF97040" w14:textId="77777777">
      <w:pPr>
        <w:rPr>
          <w:rFonts w:cs="Arial"/>
          <w:b/>
          <w:bCs/>
          <w:i/>
          <w:iCs/>
        </w:rPr>
      </w:pPr>
    </w:p>
    <w:p w:rsidRPr="00532434" w:rsidR="00485920" w:rsidP="00BD2A8D" w:rsidRDefault="007A370A" w14:paraId="225C2025" w14:textId="0216A553">
      <w:pPr>
        <w:pStyle w:val="Heading2"/>
        <w:rPr>
          <w:noProof/>
        </w:rPr>
      </w:pPr>
      <w:r w:rsidRPr="00532434">
        <w:t>Trading Standards</w:t>
      </w:r>
    </w:p>
    <w:p w:rsidRPr="00532434" w:rsidR="005F7E65" w:rsidP="00BD2A8D" w:rsidRDefault="005F7E65" w14:paraId="4349FD0A" w14:textId="77777777">
      <w:pPr>
        <w:rPr>
          <w:rFonts w:cs="Arial"/>
        </w:rPr>
      </w:pPr>
    </w:p>
    <w:p w:rsidRPr="00532434" w:rsidR="005F7E65" w:rsidP="00BD2A8D" w:rsidRDefault="005F7E65" w14:paraId="087D3B0F" w14:textId="77777777">
      <w:pPr>
        <w:rPr>
          <w:rFonts w:cs="Arial"/>
        </w:rPr>
      </w:pPr>
    </w:p>
    <w:p w:rsidRPr="00532434" w:rsidR="00485920" w:rsidP="00BD2A8D" w:rsidRDefault="00485920" w14:paraId="474F5A6F" w14:textId="77777777">
      <w:pPr>
        <w:rPr>
          <w:rFonts w:cs="Arial"/>
        </w:rPr>
      </w:pPr>
    </w:p>
    <w:p w:rsidRPr="00532434" w:rsidR="002E2A08" w:rsidRDefault="002E2A08" w14:paraId="4A4D1FB4" w14:textId="77777777">
      <w:pPr>
        <w:rPr>
          <w:rFonts w:cs="Arial"/>
        </w:rPr>
      </w:pPr>
    </w:p>
    <w:p w:rsidRPr="00532434" w:rsidR="0027167F" w:rsidRDefault="0027167F" w14:paraId="0BC60BE5" w14:textId="77777777">
      <w:pPr>
        <w:rPr>
          <w:rFonts w:cs="Arial"/>
        </w:rPr>
      </w:pPr>
    </w:p>
    <w:p w:rsidRPr="00532434" w:rsidR="005F7E65" w:rsidRDefault="005F7E65" w14:paraId="47C2F8F4" w14:textId="77777777">
      <w:pPr>
        <w:rPr>
          <w:rFonts w:cs="Arial"/>
        </w:rPr>
      </w:pPr>
    </w:p>
    <w:tbl>
      <w:tblPr>
        <w:tblStyle w:val="PlainTable2"/>
        <w:tblW w:w="9322" w:type="dxa"/>
        <w:tblLayout w:type="fixed"/>
        <w:tblLook w:val="0020" w:firstRow="1" w:lastRow="0" w:firstColumn="0" w:lastColumn="0" w:noHBand="0" w:noVBand="0"/>
      </w:tblPr>
      <w:tblGrid>
        <w:gridCol w:w="8188"/>
        <w:gridCol w:w="1134"/>
      </w:tblGrid>
      <w:tr w:rsidRPr="00532434" w:rsidR="002E2A08" w:rsidTr="00BD2A8D" w14:paraId="4A2A18F2" w14:textId="77777777">
        <w:trPr>
          <w:cnfStyle w:val="100000000000" w:firstRow="1" w:lastRow="0" w:firstColumn="0" w:lastColumn="0" w:oddVBand="0" w:evenVBand="0" w:oddHBand="0" w:evenHBand="0" w:firstRowFirstColumn="0" w:firstRowLastColumn="0" w:lastRowFirstColumn="0" w:lastRowLastColumn="0"/>
          <w:trHeight w:val="407"/>
        </w:trPr>
        <w:tc>
          <w:tcPr>
            <w:cnfStyle w:val="000010000000" w:firstRow="0" w:lastRow="0" w:firstColumn="0" w:lastColumn="0" w:oddVBand="1" w:evenVBand="0" w:oddHBand="0" w:evenHBand="0" w:firstRowFirstColumn="0" w:firstRowLastColumn="0" w:lastRowFirstColumn="0" w:lastRowLastColumn="0"/>
            <w:tcW w:w="0" w:type="dxa"/>
          </w:tcPr>
          <w:p w:rsidRPr="00532434" w:rsidR="002E2A08" w:rsidP="00047D85" w:rsidRDefault="002E2A08" w14:paraId="1DD57B4A" w14:textId="77777777">
            <w:pPr>
              <w:pStyle w:val="Default"/>
              <w:spacing w:before="60" w:after="60"/>
              <w:rPr>
                <w:b w:val="0"/>
                <w:color w:val="211E1E"/>
                <w:sz w:val="32"/>
                <w:szCs w:val="32"/>
              </w:rPr>
            </w:pPr>
            <w:r w:rsidRPr="00532434">
              <w:rPr>
                <w:b w:val="0"/>
                <w:color w:val="211E1E"/>
                <w:sz w:val="32"/>
                <w:szCs w:val="32"/>
              </w:rPr>
              <w:t>Contents</w:t>
            </w:r>
          </w:p>
        </w:tc>
        <w:tc>
          <w:tcPr>
            <w:cnfStyle w:val="000001000000" w:firstRow="0" w:lastRow="0" w:firstColumn="0" w:lastColumn="0" w:oddVBand="0" w:evenVBand="1" w:oddHBand="0" w:evenHBand="0" w:firstRowFirstColumn="0" w:firstRowLastColumn="0" w:lastRowFirstColumn="0" w:lastRowLastColumn="0"/>
            <w:tcW w:w="0" w:type="dxa"/>
          </w:tcPr>
          <w:p w:rsidRPr="00532434" w:rsidR="002E2A08" w:rsidP="00047D85" w:rsidRDefault="002E2A08" w14:paraId="21E786C6" w14:textId="77777777">
            <w:pPr>
              <w:pStyle w:val="Default"/>
              <w:spacing w:before="60" w:after="60"/>
              <w:rPr>
                <w:b w:val="0"/>
                <w:color w:val="211E1E"/>
                <w:sz w:val="32"/>
                <w:szCs w:val="32"/>
              </w:rPr>
            </w:pPr>
            <w:r w:rsidRPr="00532434">
              <w:rPr>
                <w:b w:val="0"/>
                <w:color w:val="211E1E"/>
                <w:sz w:val="32"/>
                <w:szCs w:val="32"/>
              </w:rPr>
              <w:t>Page</w:t>
            </w:r>
          </w:p>
        </w:tc>
      </w:tr>
      <w:tr w:rsidRPr="00532434" w:rsidR="002E2A08" w:rsidTr="00BD2A8D" w14:paraId="0C18FDDC" w14:textId="77777777">
        <w:trPr>
          <w:cnfStyle w:val="000000100000" w:firstRow="0" w:lastRow="0" w:firstColumn="0" w:lastColumn="0" w:oddVBand="0" w:evenVBand="0" w:oddHBand="1" w:evenHBand="0" w:firstRowFirstColumn="0" w:firstRowLastColumn="0" w:lastRowFirstColumn="0" w:lastRowLastColumn="0"/>
          <w:trHeight w:val="407"/>
        </w:trPr>
        <w:tc>
          <w:tcPr>
            <w:cnfStyle w:val="000010000000" w:firstRow="0" w:lastRow="0" w:firstColumn="0" w:lastColumn="0" w:oddVBand="1" w:evenVBand="0" w:oddHBand="0" w:evenHBand="0" w:firstRowFirstColumn="0" w:firstRowLastColumn="0" w:lastRowFirstColumn="0" w:lastRowLastColumn="0"/>
            <w:tcW w:w="0" w:type="dxa"/>
          </w:tcPr>
          <w:p w:rsidRPr="00532434" w:rsidR="002E2A08" w:rsidP="00047D85" w:rsidRDefault="002E2A08" w14:paraId="4C0BCC89" w14:textId="77777777">
            <w:pPr>
              <w:pStyle w:val="Default"/>
              <w:spacing w:before="60" w:after="60"/>
              <w:rPr>
                <w:color w:val="211E1E"/>
              </w:rPr>
            </w:pPr>
            <w:r w:rsidRPr="00532434">
              <w:rPr>
                <w:color w:val="211E1E"/>
              </w:rPr>
              <w:t>Introduction</w:t>
            </w:r>
          </w:p>
        </w:tc>
        <w:tc>
          <w:tcPr>
            <w:cnfStyle w:val="000001000000" w:firstRow="0" w:lastRow="0" w:firstColumn="0" w:lastColumn="0" w:oddVBand="0" w:evenVBand="1" w:oddHBand="0" w:evenHBand="0" w:firstRowFirstColumn="0" w:firstRowLastColumn="0" w:lastRowFirstColumn="0" w:lastRowLastColumn="0"/>
            <w:tcW w:w="0" w:type="dxa"/>
          </w:tcPr>
          <w:p w:rsidRPr="00532434" w:rsidR="002E2A08" w:rsidP="00047D85" w:rsidRDefault="00B26A75" w14:paraId="7BB28EB0" w14:textId="39D10F3C">
            <w:pPr>
              <w:pStyle w:val="Default"/>
              <w:spacing w:before="60" w:after="60"/>
              <w:rPr>
                <w:color w:val="211E1E"/>
              </w:rPr>
            </w:pPr>
            <w:r w:rsidRPr="00532434">
              <w:rPr>
                <w:color w:val="211E1E"/>
              </w:rPr>
              <w:t>2</w:t>
            </w:r>
          </w:p>
        </w:tc>
      </w:tr>
      <w:tr w:rsidRPr="00532434" w:rsidR="002E2A08" w:rsidTr="00BD2A8D" w14:paraId="52E342F8" w14:textId="77777777">
        <w:trPr>
          <w:trHeight w:val="407"/>
        </w:trPr>
        <w:tc>
          <w:tcPr>
            <w:cnfStyle w:val="000010000000" w:firstRow="0" w:lastRow="0" w:firstColumn="0" w:lastColumn="0" w:oddVBand="1" w:evenVBand="0" w:oddHBand="0" w:evenHBand="0" w:firstRowFirstColumn="0" w:firstRowLastColumn="0" w:lastRowFirstColumn="0" w:lastRowLastColumn="0"/>
            <w:tcW w:w="0" w:type="dxa"/>
          </w:tcPr>
          <w:p w:rsidRPr="00532434" w:rsidR="002E2A08" w:rsidP="00047D85" w:rsidRDefault="002E2A08" w14:paraId="35CFA795" w14:textId="77777777">
            <w:pPr>
              <w:pStyle w:val="Default"/>
              <w:spacing w:before="60" w:after="60"/>
              <w:rPr>
                <w:color w:val="211E1E"/>
              </w:rPr>
            </w:pPr>
            <w:r w:rsidRPr="00532434">
              <w:rPr>
                <w:color w:val="211E1E"/>
              </w:rPr>
              <w:t>Principles of Inspection &amp; Enforcement</w:t>
            </w:r>
          </w:p>
        </w:tc>
        <w:tc>
          <w:tcPr>
            <w:cnfStyle w:val="000001000000" w:firstRow="0" w:lastRow="0" w:firstColumn="0" w:lastColumn="0" w:oddVBand="0" w:evenVBand="1" w:oddHBand="0" w:evenHBand="0" w:firstRowFirstColumn="0" w:firstRowLastColumn="0" w:lastRowFirstColumn="0" w:lastRowLastColumn="0"/>
            <w:tcW w:w="0" w:type="dxa"/>
          </w:tcPr>
          <w:p w:rsidRPr="00532434" w:rsidR="002E2A08" w:rsidP="00047D85" w:rsidRDefault="00B26A75" w14:paraId="7A5CBD9E" w14:textId="1C89EB29">
            <w:pPr>
              <w:pStyle w:val="Default"/>
              <w:spacing w:before="60" w:after="60"/>
              <w:rPr>
                <w:color w:val="211E1E"/>
              </w:rPr>
            </w:pPr>
            <w:r w:rsidRPr="00532434">
              <w:rPr>
                <w:color w:val="211E1E"/>
              </w:rPr>
              <w:t>3</w:t>
            </w:r>
            <w:r w:rsidRPr="00532434" w:rsidR="009E4F98">
              <w:rPr>
                <w:color w:val="211E1E"/>
              </w:rPr>
              <w:t xml:space="preserve"> </w:t>
            </w:r>
            <w:r w:rsidRPr="00532434" w:rsidR="00E06D18">
              <w:rPr>
                <w:color w:val="211E1E"/>
              </w:rPr>
              <w:t>–</w:t>
            </w:r>
            <w:r w:rsidRPr="00532434" w:rsidR="009E4F98">
              <w:rPr>
                <w:color w:val="211E1E"/>
              </w:rPr>
              <w:t xml:space="preserve"> </w:t>
            </w:r>
            <w:r w:rsidRPr="00532434" w:rsidR="00B357C3">
              <w:rPr>
                <w:color w:val="211E1E"/>
              </w:rPr>
              <w:t>6</w:t>
            </w:r>
          </w:p>
        </w:tc>
      </w:tr>
      <w:tr w:rsidRPr="00532434" w:rsidR="00A61CAB" w:rsidTr="00A61CAB" w14:paraId="7131A256" w14:textId="77777777">
        <w:trPr>
          <w:cnfStyle w:val="000000100000" w:firstRow="0" w:lastRow="0" w:firstColumn="0" w:lastColumn="0" w:oddVBand="0" w:evenVBand="0" w:oddHBand="1" w:evenHBand="0" w:firstRowFirstColumn="0" w:firstRowLastColumn="0" w:lastRowFirstColumn="0" w:lastRowLastColumn="0"/>
          <w:trHeight w:val="407"/>
        </w:trPr>
        <w:tc>
          <w:tcPr>
            <w:cnfStyle w:val="000010000000" w:firstRow="0" w:lastRow="0" w:firstColumn="0" w:lastColumn="0" w:oddVBand="1" w:evenVBand="0" w:oddHBand="0" w:evenHBand="0" w:firstRowFirstColumn="0" w:firstRowLastColumn="0" w:lastRowFirstColumn="0" w:lastRowLastColumn="0"/>
            <w:tcW w:w="8188" w:type="dxa"/>
          </w:tcPr>
          <w:p w:rsidRPr="00532434" w:rsidR="00A61CAB" w:rsidP="00047D85" w:rsidRDefault="00A61CAB" w14:paraId="3E972E9D" w14:textId="338C12DB">
            <w:pPr>
              <w:pStyle w:val="Default"/>
              <w:spacing w:before="60" w:after="60"/>
              <w:rPr>
                <w:color w:val="211E1E"/>
              </w:rPr>
            </w:pPr>
            <w:r w:rsidRPr="00532434">
              <w:rPr>
                <w:color w:val="211E1E"/>
              </w:rPr>
              <w:t>Primary Authority Partnerships</w:t>
            </w:r>
          </w:p>
        </w:tc>
        <w:tc>
          <w:tcPr>
            <w:cnfStyle w:val="000001000000" w:firstRow="0" w:lastRow="0" w:firstColumn="0" w:lastColumn="0" w:oddVBand="0" w:evenVBand="1" w:oddHBand="0" w:evenHBand="0" w:firstRowFirstColumn="0" w:firstRowLastColumn="0" w:lastRowFirstColumn="0" w:lastRowLastColumn="0"/>
            <w:tcW w:w="1134" w:type="dxa"/>
          </w:tcPr>
          <w:p w:rsidRPr="00532434" w:rsidR="00A61CAB" w:rsidP="00047D85" w:rsidRDefault="00A61CAB" w14:paraId="48E41620" w14:textId="4CCD80CE">
            <w:pPr>
              <w:pStyle w:val="Default"/>
              <w:spacing w:before="60" w:after="60"/>
              <w:rPr>
                <w:color w:val="211E1E"/>
              </w:rPr>
            </w:pPr>
            <w:r w:rsidRPr="00532434">
              <w:rPr>
                <w:color w:val="211E1E"/>
              </w:rPr>
              <w:t>6</w:t>
            </w:r>
            <w:r w:rsidR="00E87564">
              <w:rPr>
                <w:color w:val="211E1E"/>
              </w:rPr>
              <w:t xml:space="preserve"> - 7</w:t>
            </w:r>
          </w:p>
        </w:tc>
      </w:tr>
      <w:tr w:rsidRPr="00532434" w:rsidR="002E2A08" w:rsidTr="00BD2A8D" w14:paraId="018F37BA" w14:textId="77777777">
        <w:trPr>
          <w:trHeight w:val="349"/>
        </w:trPr>
        <w:tc>
          <w:tcPr>
            <w:cnfStyle w:val="000010000000" w:firstRow="0" w:lastRow="0" w:firstColumn="0" w:lastColumn="0" w:oddVBand="1" w:evenVBand="0" w:oddHBand="0" w:evenHBand="0" w:firstRowFirstColumn="0" w:firstRowLastColumn="0" w:lastRowFirstColumn="0" w:lastRowLastColumn="0"/>
            <w:tcW w:w="0" w:type="dxa"/>
            <w:tcBorders>
              <w:top w:val="single" w:color="7F7F7F" w:themeColor="text1" w:themeTint="80" w:sz="4" w:space="0"/>
              <w:bottom w:val="single" w:color="7F7F7F" w:themeColor="text1" w:themeTint="80" w:sz="4" w:space="0"/>
            </w:tcBorders>
          </w:tcPr>
          <w:p w:rsidRPr="00532434" w:rsidR="002E2A08" w:rsidP="00047D85" w:rsidRDefault="002E2A08" w14:paraId="0EB5DDF4" w14:textId="77777777">
            <w:pPr>
              <w:pStyle w:val="Default"/>
              <w:spacing w:before="60" w:after="60"/>
              <w:rPr>
                <w:color w:val="211E1E"/>
              </w:rPr>
            </w:pPr>
            <w:r w:rsidRPr="00532434">
              <w:rPr>
                <w:color w:val="211E1E"/>
              </w:rPr>
              <w:t>Enforcement Actions</w:t>
            </w:r>
          </w:p>
        </w:tc>
        <w:tc>
          <w:tcPr>
            <w:cnfStyle w:val="000001000000" w:firstRow="0" w:lastRow="0" w:firstColumn="0" w:lastColumn="0" w:oddVBand="0" w:evenVBand="1" w:oddHBand="0" w:evenHBand="0" w:firstRowFirstColumn="0" w:firstRowLastColumn="0" w:lastRowFirstColumn="0" w:lastRowLastColumn="0"/>
            <w:tcW w:w="0" w:type="dxa"/>
            <w:tcBorders>
              <w:top w:val="single" w:color="7F7F7F" w:themeColor="text1" w:themeTint="80" w:sz="4" w:space="0"/>
              <w:bottom w:val="single" w:color="7F7F7F" w:themeColor="text1" w:themeTint="80" w:sz="4" w:space="0"/>
            </w:tcBorders>
          </w:tcPr>
          <w:p w:rsidRPr="00532434" w:rsidR="002E2A08" w:rsidP="00047D85" w:rsidRDefault="00B357C3" w14:paraId="72109774" w14:textId="7B413263">
            <w:pPr>
              <w:pStyle w:val="Default"/>
              <w:spacing w:before="60" w:after="60"/>
              <w:rPr>
                <w:color w:val="211E1E"/>
              </w:rPr>
            </w:pPr>
            <w:r w:rsidRPr="00532434">
              <w:rPr>
                <w:color w:val="211E1E"/>
              </w:rPr>
              <w:t>7</w:t>
            </w:r>
            <w:r w:rsidRPr="00532434" w:rsidR="002E2A08">
              <w:rPr>
                <w:color w:val="211E1E"/>
              </w:rPr>
              <w:t xml:space="preserve"> </w:t>
            </w:r>
            <w:r w:rsidRPr="00532434" w:rsidR="00E06D18">
              <w:rPr>
                <w:color w:val="211E1E"/>
              </w:rPr>
              <w:t>–</w:t>
            </w:r>
            <w:r w:rsidRPr="00532434" w:rsidR="002E2A08">
              <w:rPr>
                <w:color w:val="211E1E"/>
              </w:rPr>
              <w:t xml:space="preserve"> </w:t>
            </w:r>
            <w:r w:rsidR="00E87564">
              <w:rPr>
                <w:color w:val="211E1E"/>
              </w:rPr>
              <w:t>14</w:t>
            </w:r>
          </w:p>
        </w:tc>
      </w:tr>
      <w:tr w:rsidRPr="00532434" w:rsidR="002E2A08" w:rsidTr="00BD2A8D" w14:paraId="7E12BAA6" w14:textId="77777777">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0" w:type="dxa"/>
          </w:tcPr>
          <w:p w:rsidRPr="00532434" w:rsidR="002E2A08" w:rsidP="00047D85" w:rsidRDefault="002E2A08" w14:paraId="6E599456" w14:textId="77777777">
            <w:pPr>
              <w:pStyle w:val="Default"/>
              <w:spacing w:before="60" w:after="60"/>
              <w:rPr>
                <w:color w:val="211E1E"/>
              </w:rPr>
            </w:pPr>
            <w:r w:rsidRPr="00532434">
              <w:rPr>
                <w:color w:val="211E1E"/>
              </w:rPr>
              <w:t>Complaints, Compliments and Comments</w:t>
            </w:r>
          </w:p>
        </w:tc>
        <w:tc>
          <w:tcPr>
            <w:cnfStyle w:val="000001000000" w:firstRow="0" w:lastRow="0" w:firstColumn="0" w:lastColumn="0" w:oddVBand="0" w:evenVBand="1" w:oddHBand="0" w:evenHBand="0" w:firstRowFirstColumn="0" w:firstRowLastColumn="0" w:lastRowFirstColumn="0" w:lastRowLastColumn="0"/>
            <w:tcW w:w="0" w:type="dxa"/>
          </w:tcPr>
          <w:p w:rsidRPr="00532434" w:rsidR="002E2A08" w:rsidP="00047D85" w:rsidRDefault="007C047F" w14:paraId="7D9CA92A" w14:textId="7A466E6C">
            <w:pPr>
              <w:pStyle w:val="Default"/>
              <w:spacing w:before="60" w:after="60"/>
              <w:rPr>
                <w:color w:val="211E1E"/>
              </w:rPr>
            </w:pPr>
            <w:r w:rsidRPr="00532434">
              <w:rPr>
                <w:color w:val="211E1E"/>
              </w:rPr>
              <w:t>14</w:t>
            </w:r>
          </w:p>
        </w:tc>
      </w:tr>
      <w:tr w:rsidRPr="00532434" w:rsidR="002E2A08" w:rsidTr="00BD2A8D" w14:paraId="0E7CC33F" w14:textId="77777777">
        <w:trPr>
          <w:trHeight w:val="407"/>
        </w:trPr>
        <w:tc>
          <w:tcPr>
            <w:cnfStyle w:val="000010000000" w:firstRow="0" w:lastRow="0" w:firstColumn="0" w:lastColumn="0" w:oddVBand="1" w:evenVBand="0" w:oddHBand="0" w:evenHBand="0" w:firstRowFirstColumn="0" w:firstRowLastColumn="0" w:lastRowFirstColumn="0" w:lastRowLastColumn="0"/>
            <w:tcW w:w="0" w:type="dxa"/>
            <w:tcBorders>
              <w:top w:val="single" w:color="7F7F7F" w:themeColor="text1" w:themeTint="80" w:sz="4" w:space="0"/>
              <w:bottom w:val="single" w:color="7F7F7F" w:themeColor="text1" w:themeTint="80" w:sz="4" w:space="0"/>
            </w:tcBorders>
          </w:tcPr>
          <w:p w:rsidRPr="00532434" w:rsidR="002E2A08" w:rsidP="00047D85" w:rsidRDefault="002E2A08" w14:paraId="2F8F5F07" w14:textId="77777777">
            <w:pPr>
              <w:pStyle w:val="Default"/>
              <w:spacing w:before="60" w:after="60"/>
              <w:rPr>
                <w:color w:val="211E1E"/>
              </w:rPr>
            </w:pPr>
            <w:r w:rsidRPr="00532434">
              <w:rPr>
                <w:color w:val="211E1E"/>
              </w:rPr>
              <w:t>Conflict of Interest in Enforcement Matters</w:t>
            </w:r>
          </w:p>
        </w:tc>
        <w:tc>
          <w:tcPr>
            <w:cnfStyle w:val="000001000000" w:firstRow="0" w:lastRow="0" w:firstColumn="0" w:lastColumn="0" w:oddVBand="0" w:evenVBand="1" w:oddHBand="0" w:evenHBand="0" w:firstRowFirstColumn="0" w:firstRowLastColumn="0" w:lastRowFirstColumn="0" w:lastRowLastColumn="0"/>
            <w:tcW w:w="0" w:type="dxa"/>
            <w:tcBorders>
              <w:top w:val="single" w:color="7F7F7F" w:themeColor="text1" w:themeTint="80" w:sz="4" w:space="0"/>
              <w:bottom w:val="single" w:color="7F7F7F" w:themeColor="text1" w:themeTint="80" w:sz="4" w:space="0"/>
            </w:tcBorders>
          </w:tcPr>
          <w:p w:rsidRPr="00532434" w:rsidR="002E2A08" w:rsidP="00047D85" w:rsidRDefault="002E2A08" w14:paraId="2A3D589A" w14:textId="77F7EAA6">
            <w:pPr>
              <w:pStyle w:val="Default"/>
              <w:spacing w:before="60" w:after="60"/>
              <w:rPr>
                <w:color w:val="211E1E"/>
              </w:rPr>
            </w:pPr>
            <w:r w:rsidRPr="00532434">
              <w:rPr>
                <w:color w:val="211E1E"/>
              </w:rPr>
              <w:t>1</w:t>
            </w:r>
            <w:r w:rsidRPr="00532434" w:rsidR="00A70B65">
              <w:rPr>
                <w:color w:val="211E1E"/>
              </w:rPr>
              <w:t>4</w:t>
            </w:r>
            <w:r w:rsidR="00E87564">
              <w:rPr>
                <w:color w:val="211E1E"/>
              </w:rPr>
              <w:t xml:space="preserve"> -15</w:t>
            </w:r>
          </w:p>
        </w:tc>
      </w:tr>
      <w:tr w:rsidRPr="00532434" w:rsidR="002E2A08" w:rsidTr="00BD2A8D" w14:paraId="1261530E" w14:textId="77777777">
        <w:trPr>
          <w:cnfStyle w:val="000000100000" w:firstRow="0" w:lastRow="0" w:firstColumn="0" w:lastColumn="0" w:oddVBand="0" w:evenVBand="0" w:oddHBand="1" w:evenHBand="0" w:firstRowFirstColumn="0" w:firstRowLastColumn="0" w:lastRowFirstColumn="0" w:lastRowLastColumn="0"/>
          <w:trHeight w:val="407"/>
        </w:trPr>
        <w:tc>
          <w:tcPr>
            <w:cnfStyle w:val="000010000000" w:firstRow="0" w:lastRow="0" w:firstColumn="0" w:lastColumn="0" w:oddVBand="1" w:evenVBand="0" w:oddHBand="0" w:evenHBand="0" w:firstRowFirstColumn="0" w:firstRowLastColumn="0" w:lastRowFirstColumn="0" w:lastRowLastColumn="0"/>
            <w:tcW w:w="0" w:type="dxa"/>
          </w:tcPr>
          <w:p w:rsidRPr="00532434" w:rsidR="002E2A08" w:rsidP="00047D85" w:rsidRDefault="002E2A08" w14:paraId="635AFD4F" w14:textId="77777777">
            <w:pPr>
              <w:pStyle w:val="Default"/>
              <w:spacing w:before="60" w:after="60"/>
              <w:rPr>
                <w:color w:val="211E1E"/>
              </w:rPr>
            </w:pPr>
            <w:r w:rsidRPr="00532434">
              <w:rPr>
                <w:color w:val="211E1E"/>
              </w:rPr>
              <w:t>Where to get further information</w:t>
            </w:r>
          </w:p>
        </w:tc>
        <w:tc>
          <w:tcPr>
            <w:cnfStyle w:val="000001000000" w:firstRow="0" w:lastRow="0" w:firstColumn="0" w:lastColumn="0" w:oddVBand="0" w:evenVBand="1" w:oddHBand="0" w:evenHBand="0" w:firstRowFirstColumn="0" w:firstRowLastColumn="0" w:lastRowFirstColumn="0" w:lastRowLastColumn="0"/>
            <w:tcW w:w="0" w:type="dxa"/>
          </w:tcPr>
          <w:p w:rsidRPr="00532434" w:rsidR="002E2A08" w:rsidP="00047D85" w:rsidRDefault="007C047F" w14:paraId="34B4AD18" w14:textId="6360CB71">
            <w:pPr>
              <w:pStyle w:val="Default"/>
              <w:spacing w:before="60" w:after="60"/>
              <w:rPr>
                <w:color w:val="211E1E"/>
              </w:rPr>
            </w:pPr>
            <w:r w:rsidRPr="00532434">
              <w:rPr>
                <w:color w:val="211E1E"/>
              </w:rPr>
              <w:t>1</w:t>
            </w:r>
            <w:r w:rsidR="00E87564">
              <w:rPr>
                <w:color w:val="211E1E"/>
              </w:rPr>
              <w:t>5</w:t>
            </w:r>
          </w:p>
        </w:tc>
      </w:tr>
      <w:tr w:rsidRPr="00532434" w:rsidR="002E2A08" w:rsidTr="00BD2A8D" w14:paraId="79C7C1AB" w14:textId="77777777">
        <w:trPr>
          <w:trHeight w:val="407"/>
        </w:trPr>
        <w:tc>
          <w:tcPr>
            <w:cnfStyle w:val="000010000000" w:firstRow="0" w:lastRow="0" w:firstColumn="0" w:lastColumn="0" w:oddVBand="1" w:evenVBand="0" w:oddHBand="0" w:evenHBand="0" w:firstRowFirstColumn="0" w:firstRowLastColumn="0" w:lastRowFirstColumn="0" w:lastRowLastColumn="0"/>
            <w:tcW w:w="0" w:type="dxa"/>
            <w:tcBorders>
              <w:top w:val="single" w:color="7F7F7F" w:themeColor="text1" w:themeTint="80" w:sz="4" w:space="0"/>
              <w:bottom w:val="single" w:color="7F7F7F" w:themeColor="text1" w:themeTint="80" w:sz="4" w:space="0"/>
            </w:tcBorders>
          </w:tcPr>
          <w:p w:rsidRPr="00532434" w:rsidR="002E2A08" w:rsidP="00047D85" w:rsidRDefault="00DE3F25" w14:paraId="3ABBF1B0" w14:textId="77777777">
            <w:pPr>
              <w:pStyle w:val="Default"/>
              <w:spacing w:before="60" w:after="60"/>
              <w:rPr>
                <w:color w:val="211E1E"/>
              </w:rPr>
            </w:pPr>
            <w:r w:rsidRPr="00532434">
              <w:rPr>
                <w:color w:val="211E1E"/>
              </w:rPr>
              <w:t>Appendix 1 – Breaches of vehicle weight limits / weight restrictions</w:t>
            </w:r>
          </w:p>
        </w:tc>
        <w:tc>
          <w:tcPr>
            <w:cnfStyle w:val="000001000000" w:firstRow="0" w:lastRow="0" w:firstColumn="0" w:lastColumn="0" w:oddVBand="0" w:evenVBand="1" w:oddHBand="0" w:evenHBand="0" w:firstRowFirstColumn="0" w:firstRowLastColumn="0" w:lastRowFirstColumn="0" w:lastRowLastColumn="0"/>
            <w:tcW w:w="0" w:type="dxa"/>
            <w:tcBorders>
              <w:top w:val="single" w:color="7F7F7F" w:themeColor="text1" w:themeTint="80" w:sz="4" w:space="0"/>
              <w:bottom w:val="single" w:color="7F7F7F" w:themeColor="text1" w:themeTint="80" w:sz="4" w:space="0"/>
            </w:tcBorders>
          </w:tcPr>
          <w:p w:rsidRPr="00532434" w:rsidR="002E2A08" w:rsidP="00047D85" w:rsidRDefault="00822733" w14:paraId="5733D037" w14:textId="31B189DD">
            <w:pPr>
              <w:pStyle w:val="Default"/>
              <w:spacing w:before="60" w:after="60"/>
              <w:rPr>
                <w:color w:val="211E1E"/>
              </w:rPr>
            </w:pPr>
            <w:r w:rsidRPr="00532434">
              <w:rPr>
                <w:color w:val="211E1E"/>
              </w:rPr>
              <w:t>1</w:t>
            </w:r>
            <w:r w:rsidR="00E87564">
              <w:rPr>
                <w:color w:val="211E1E"/>
              </w:rPr>
              <w:t>5 - 16</w:t>
            </w:r>
          </w:p>
        </w:tc>
      </w:tr>
      <w:tr w:rsidRPr="00532434" w:rsidR="00822733" w:rsidTr="00BD2A8D" w14:paraId="4E20889A" w14:textId="77777777">
        <w:trPr>
          <w:cnfStyle w:val="000000100000" w:firstRow="0" w:lastRow="0" w:firstColumn="0" w:lastColumn="0" w:oddVBand="0" w:evenVBand="0" w:oddHBand="1" w:evenHBand="0" w:firstRowFirstColumn="0" w:firstRowLastColumn="0" w:lastRowFirstColumn="0" w:lastRowLastColumn="0"/>
          <w:trHeight w:val="407"/>
        </w:trPr>
        <w:tc>
          <w:tcPr>
            <w:cnfStyle w:val="000010000000" w:firstRow="0" w:lastRow="0" w:firstColumn="0" w:lastColumn="0" w:oddVBand="1" w:evenVBand="0" w:oddHBand="0" w:evenHBand="0" w:firstRowFirstColumn="0" w:firstRowLastColumn="0" w:lastRowFirstColumn="0" w:lastRowLastColumn="0"/>
            <w:tcW w:w="0" w:type="dxa"/>
          </w:tcPr>
          <w:p w:rsidRPr="00532434" w:rsidR="00822733" w:rsidP="00047D85" w:rsidRDefault="00DE3F25" w14:paraId="7F5DA857" w14:textId="77777777">
            <w:pPr>
              <w:pStyle w:val="Default"/>
              <w:spacing w:before="60" w:after="60"/>
              <w:rPr>
                <w:color w:val="211E1E"/>
              </w:rPr>
            </w:pPr>
            <w:r w:rsidRPr="00532434">
              <w:rPr>
                <w:color w:val="211E1E"/>
              </w:rPr>
              <w:t>Appendix 2 – Sports Ground Enforcement Policy</w:t>
            </w:r>
          </w:p>
        </w:tc>
        <w:tc>
          <w:tcPr>
            <w:cnfStyle w:val="000001000000" w:firstRow="0" w:lastRow="0" w:firstColumn="0" w:lastColumn="0" w:oddVBand="0" w:evenVBand="1" w:oddHBand="0" w:evenHBand="0" w:firstRowFirstColumn="0" w:firstRowLastColumn="0" w:lastRowFirstColumn="0" w:lastRowLastColumn="0"/>
            <w:tcW w:w="0" w:type="dxa"/>
          </w:tcPr>
          <w:p w:rsidRPr="00532434" w:rsidR="00822733" w:rsidP="00047D85" w:rsidRDefault="007C047F" w14:paraId="47100F1C" w14:textId="53277682">
            <w:pPr>
              <w:pStyle w:val="Default"/>
              <w:spacing w:before="60" w:after="60"/>
              <w:rPr>
                <w:color w:val="211E1E"/>
              </w:rPr>
            </w:pPr>
            <w:r w:rsidRPr="00532434">
              <w:rPr>
                <w:color w:val="211E1E"/>
              </w:rPr>
              <w:t>1</w:t>
            </w:r>
            <w:r w:rsidR="00E87564">
              <w:rPr>
                <w:color w:val="211E1E"/>
              </w:rPr>
              <w:t xml:space="preserve">6 </w:t>
            </w:r>
            <w:r w:rsidRPr="00532434">
              <w:rPr>
                <w:color w:val="211E1E"/>
              </w:rPr>
              <w:t>– 1</w:t>
            </w:r>
            <w:r w:rsidR="00E87564">
              <w:rPr>
                <w:color w:val="211E1E"/>
              </w:rPr>
              <w:t>9</w:t>
            </w:r>
          </w:p>
        </w:tc>
      </w:tr>
    </w:tbl>
    <w:p w:rsidRPr="00532434" w:rsidR="002E2A08" w:rsidP="00F048F5" w:rsidRDefault="002E2A08" w14:paraId="794ED866" w14:textId="77777777">
      <w:pPr>
        <w:rPr>
          <w:rFonts w:cs="Arial"/>
          <w:b/>
          <w:sz w:val="32"/>
          <w:szCs w:val="32"/>
        </w:rPr>
      </w:pPr>
    </w:p>
    <w:p w:rsidRPr="00532434" w:rsidR="00A61CAB" w:rsidP="00F048F5" w:rsidRDefault="00A61CAB" w14:paraId="2FB2E9CF" w14:textId="77777777">
      <w:pPr>
        <w:rPr>
          <w:rFonts w:cs="Arial"/>
          <w:b/>
          <w:sz w:val="32"/>
          <w:szCs w:val="32"/>
        </w:rPr>
      </w:pPr>
    </w:p>
    <w:p w:rsidRPr="00532434" w:rsidR="00A61CAB" w:rsidRDefault="00E432CC" w14:paraId="5CE9CD10" w14:textId="4A2D22B7">
      <w:pPr>
        <w:rPr>
          <w:rFonts w:cs="Arial"/>
        </w:rPr>
      </w:pPr>
      <w:r>
        <w:rPr>
          <w:rFonts w:cs="Arial"/>
        </w:rPr>
        <w:t>March</w:t>
      </w:r>
      <w:r w:rsidR="008020CC">
        <w:rPr>
          <w:rFonts w:cs="Arial"/>
        </w:rPr>
        <w:t xml:space="preserve"> 202</w:t>
      </w:r>
      <w:r>
        <w:rPr>
          <w:rFonts w:cs="Arial"/>
        </w:rPr>
        <w:t>3</w:t>
      </w:r>
      <w:r w:rsidRPr="00532434" w:rsidR="00A61CAB">
        <w:rPr>
          <w:rFonts w:cs="Arial"/>
        </w:rPr>
        <w:br w:type="page"/>
      </w:r>
    </w:p>
    <w:p w:rsidRPr="00532434" w:rsidR="00E058CE" w:rsidP="00BD2A8D" w:rsidRDefault="00EE1B40" w14:paraId="4C80D710" w14:textId="7DC07F8A">
      <w:pPr>
        <w:pStyle w:val="Heading2"/>
        <w:rPr>
          <w:i w:val="0"/>
          <w:iCs w:val="0"/>
        </w:rPr>
      </w:pPr>
      <w:r w:rsidRPr="00532434">
        <w:rPr>
          <w:i w:val="0"/>
          <w:iCs w:val="0"/>
        </w:rPr>
        <w:lastRenderedPageBreak/>
        <w:t>1</w:t>
      </w:r>
      <w:r w:rsidRPr="00532434">
        <w:rPr>
          <w:i w:val="0"/>
          <w:iCs w:val="0"/>
        </w:rPr>
        <w:tab/>
      </w:r>
      <w:r w:rsidRPr="00532434" w:rsidR="00E058CE">
        <w:rPr>
          <w:i w:val="0"/>
          <w:iCs w:val="0"/>
        </w:rPr>
        <w:t>Introduction</w:t>
      </w:r>
    </w:p>
    <w:p w:rsidRPr="00532434" w:rsidR="002E2A08" w:rsidP="00F048F5" w:rsidRDefault="002E2A08" w14:paraId="05C7710F" w14:textId="77777777">
      <w:pPr>
        <w:rPr>
          <w:rFonts w:cs="Arial"/>
          <w:b/>
          <w:sz w:val="32"/>
          <w:szCs w:val="32"/>
        </w:rPr>
      </w:pPr>
    </w:p>
    <w:p w:rsidRPr="00532434" w:rsidR="002E2A08" w:rsidP="002E2A08" w:rsidRDefault="002E2A08" w14:paraId="4F4903AC" w14:textId="6F76747A">
      <w:pPr>
        <w:pStyle w:val="Default"/>
        <w:widowControl/>
        <w:numPr>
          <w:ilvl w:val="1"/>
          <w:numId w:val="21"/>
        </w:numPr>
        <w:spacing w:after="200"/>
        <w:jc w:val="both"/>
      </w:pPr>
      <w:r w:rsidRPr="00532434">
        <w:t xml:space="preserve">This document applies to the enforcement activities carried out </w:t>
      </w:r>
      <w:r w:rsidRPr="00532434" w:rsidR="00911AEB">
        <w:t>by the Trading Standards Service of Suffolk County Council</w:t>
      </w:r>
      <w:r w:rsidRPr="00532434" w:rsidR="00771E65">
        <w:t>.  It contains appendices giving specific detail on overloaded goods vehicles/vehicles breaching weight restrictions, and on enforcement relating to the County Council’s statutory duties concerning the safety of sports grounds.</w:t>
      </w:r>
    </w:p>
    <w:p w:rsidRPr="00532434" w:rsidR="0045522C" w:rsidP="0045522C" w:rsidRDefault="004C5F64" w14:paraId="3F1EB24E" w14:textId="49B0559E">
      <w:pPr>
        <w:pStyle w:val="Default"/>
        <w:widowControl/>
        <w:numPr>
          <w:ilvl w:val="1"/>
          <w:numId w:val="21"/>
        </w:numPr>
        <w:spacing w:after="200"/>
        <w:jc w:val="both"/>
      </w:pPr>
      <w:r w:rsidRPr="00532434">
        <w:t>Where appropriate</w:t>
      </w:r>
      <w:r w:rsidRPr="00532434" w:rsidR="001126C9">
        <w:t>,</w:t>
      </w:r>
      <w:r w:rsidRPr="00532434">
        <w:t xml:space="preserve"> </w:t>
      </w:r>
      <w:r w:rsidRPr="00532434" w:rsidR="004A22F1">
        <w:t>additional enforcement protocols or policy</w:t>
      </w:r>
      <w:r w:rsidRPr="00532434">
        <w:t xml:space="preserve"> may be developed to support this policy, for example where there are national requirements regarding a particular enforcement</w:t>
      </w:r>
      <w:r w:rsidRPr="00532434" w:rsidR="007B3475">
        <w:t xml:space="preserve"> </w:t>
      </w:r>
      <w:r w:rsidRPr="00532434">
        <w:t>process.</w:t>
      </w:r>
    </w:p>
    <w:p w:rsidRPr="00532434" w:rsidR="00C81DCD" w:rsidP="00E058CE" w:rsidRDefault="00DC04E0" w14:paraId="17AB257E" w14:textId="77777777">
      <w:pPr>
        <w:pStyle w:val="Default"/>
        <w:widowControl/>
        <w:numPr>
          <w:ilvl w:val="1"/>
          <w:numId w:val="21"/>
        </w:numPr>
        <w:spacing w:after="200"/>
        <w:jc w:val="both"/>
      </w:pPr>
      <w:r w:rsidRPr="00532434">
        <w:t>Th</w:t>
      </w:r>
      <w:r w:rsidRPr="00532434" w:rsidR="00C672E8">
        <w:t xml:space="preserve">is </w:t>
      </w:r>
      <w:r w:rsidRPr="00532434" w:rsidR="00C81DCD">
        <w:t xml:space="preserve">Policy </w:t>
      </w:r>
      <w:r w:rsidRPr="00532434" w:rsidR="00C672E8">
        <w:t>has been</w:t>
      </w:r>
      <w:r w:rsidRPr="00532434" w:rsidR="00A44738">
        <w:t xml:space="preserve"> developed in conjunction with a range of stakeholders, including business represe</w:t>
      </w:r>
      <w:r w:rsidRPr="00532434" w:rsidR="00C672E8">
        <w:t xml:space="preserve">ntatives </w:t>
      </w:r>
      <w:r w:rsidRPr="00532434" w:rsidR="00A44738">
        <w:t>and is subject to annual review</w:t>
      </w:r>
      <w:r w:rsidRPr="00532434" w:rsidR="00C672E8">
        <w:t xml:space="preserve"> and approval. </w:t>
      </w:r>
    </w:p>
    <w:p w:rsidRPr="00532434" w:rsidR="00C81DCD" w:rsidP="00E058CE" w:rsidRDefault="00DC04E0" w14:paraId="1BCA0D5F" w14:textId="0CD168EA">
      <w:pPr>
        <w:pStyle w:val="Default"/>
        <w:widowControl/>
        <w:numPr>
          <w:ilvl w:val="1"/>
          <w:numId w:val="21"/>
        </w:numPr>
        <w:spacing w:after="200"/>
        <w:jc w:val="both"/>
      </w:pPr>
      <w:r w:rsidRPr="00532434">
        <w:t>The purpose of this P</w:t>
      </w:r>
      <w:r w:rsidRPr="00532434" w:rsidR="00C81DCD">
        <w:t xml:space="preserve">olicy is to provide a framework to </w:t>
      </w:r>
      <w:r w:rsidRPr="00532434" w:rsidR="00A44738">
        <w:t>ensure</w:t>
      </w:r>
      <w:r w:rsidRPr="00532434" w:rsidR="00E058CE">
        <w:t xml:space="preserve"> </w:t>
      </w:r>
      <w:r w:rsidRPr="00532434" w:rsidR="00C81DCD">
        <w:t xml:space="preserve">that </w:t>
      </w:r>
      <w:r w:rsidRPr="00532434" w:rsidR="00C672E8">
        <w:t>local authority enforcement is delivered in</w:t>
      </w:r>
      <w:r w:rsidRPr="00532434" w:rsidR="00C81DCD">
        <w:t xml:space="preserve"> an equitable, practical and consistent manner. </w:t>
      </w:r>
      <w:r w:rsidRPr="00532434" w:rsidR="00C672E8">
        <w:t>This is in line with</w:t>
      </w:r>
      <w:r w:rsidRPr="00532434" w:rsidR="006E6297">
        <w:t xml:space="preserve"> the principles of good enforcement, as set out in the</w:t>
      </w:r>
      <w:r w:rsidRPr="00532434" w:rsidR="00C81DCD">
        <w:t xml:space="preserve"> </w:t>
      </w:r>
      <w:r w:rsidRPr="00532434" w:rsidR="006E6297">
        <w:t>Legislative</w:t>
      </w:r>
      <w:r w:rsidRPr="00532434" w:rsidR="00A214C9">
        <w:t xml:space="preserve"> and Regulatory Reform Act 2006</w:t>
      </w:r>
      <w:r w:rsidRPr="00532434" w:rsidR="00C81DCD">
        <w:t xml:space="preserve">, and </w:t>
      </w:r>
      <w:r w:rsidRPr="00532434" w:rsidR="00A214C9">
        <w:t xml:space="preserve">regard </w:t>
      </w:r>
      <w:r w:rsidRPr="00532434" w:rsidR="00C672E8">
        <w:t xml:space="preserve">has been given </w:t>
      </w:r>
      <w:r w:rsidRPr="00532434" w:rsidR="00A214C9">
        <w:t>to the</w:t>
      </w:r>
      <w:r w:rsidRPr="00532434" w:rsidR="00C81DCD">
        <w:t xml:space="preserve"> associated</w:t>
      </w:r>
      <w:r w:rsidRPr="00532434" w:rsidR="00A214C9">
        <w:t xml:space="preserve"> </w:t>
      </w:r>
      <w:hyperlink w:history="1" r:id="rId9">
        <w:r w:rsidRPr="00532434" w:rsidR="00A214C9">
          <w:rPr>
            <w:rStyle w:val="Hyperlink"/>
          </w:rPr>
          <w:t>Regulators’ Code</w:t>
        </w:r>
      </w:hyperlink>
      <w:r w:rsidRPr="00532434" w:rsidR="00C81DCD">
        <w:t xml:space="preserve"> (the Code)</w:t>
      </w:r>
      <w:r w:rsidRPr="00532434" w:rsidR="00A214C9">
        <w:t xml:space="preserve"> in the preparation of this policy.</w:t>
      </w:r>
      <w:r w:rsidRPr="00532434" w:rsidR="0045522C">
        <w:t xml:space="preserve"> In certain </w:t>
      </w:r>
      <w:r w:rsidRPr="00532434" w:rsidR="00A61CAB">
        <w:t>instances,</w:t>
      </w:r>
      <w:r w:rsidRPr="00532434" w:rsidR="0045522C">
        <w:t xml:space="preserve"> </w:t>
      </w:r>
      <w:r w:rsidRPr="00532434" w:rsidR="00C672E8">
        <w:t xml:space="preserve">it may be concluded that </w:t>
      </w:r>
      <w:r w:rsidRPr="00532434" w:rsidR="0045522C">
        <w:t xml:space="preserve">a provision in the Code is either not relevant or is outweighed by another provision. </w:t>
      </w:r>
      <w:r w:rsidRPr="00532434" w:rsidR="00C672E8">
        <w:t>A</w:t>
      </w:r>
      <w:r w:rsidRPr="00532434" w:rsidR="0045522C">
        <w:t>ny decision to depart from the Code will be properly reasoned, based on material evidence and documented.</w:t>
      </w:r>
    </w:p>
    <w:p w:rsidRPr="00532434" w:rsidR="00A214C9" w:rsidP="00E058CE" w:rsidRDefault="006E6297" w14:paraId="316FAAA3" w14:textId="3C6EDE18">
      <w:pPr>
        <w:pStyle w:val="Default"/>
        <w:widowControl/>
        <w:numPr>
          <w:ilvl w:val="1"/>
          <w:numId w:val="21"/>
        </w:numPr>
        <w:spacing w:after="200"/>
        <w:jc w:val="both"/>
      </w:pPr>
      <w:r w:rsidRPr="00532434">
        <w:t xml:space="preserve">Compliance with this </w:t>
      </w:r>
      <w:r w:rsidRPr="00532434" w:rsidR="00DC04E0">
        <w:t>P</w:t>
      </w:r>
      <w:r w:rsidRPr="00532434">
        <w:t>olicy will ensure that we will strive to be fair, impartial,</w:t>
      </w:r>
      <w:r w:rsidRPr="00532434" w:rsidR="00E058CE">
        <w:t xml:space="preserve"> </w:t>
      </w:r>
      <w:r w:rsidRPr="00532434" w:rsidR="004148C2">
        <w:t>independent,</w:t>
      </w:r>
      <w:r w:rsidRPr="00532434" w:rsidR="0045522C">
        <w:t xml:space="preserve"> and objective. </w:t>
      </w:r>
      <w:r w:rsidRPr="00532434" w:rsidR="003A23DE">
        <w:t>We are</w:t>
      </w:r>
      <w:r w:rsidRPr="00532434" w:rsidR="00AC229B">
        <w:t xml:space="preserve"> committed to ensuring that the decisions we take and the services we deliver take proper account of equality issues</w:t>
      </w:r>
      <w:r w:rsidR="00E57CDE">
        <w:t>.</w:t>
      </w:r>
    </w:p>
    <w:p w:rsidRPr="00532434" w:rsidR="00A214C9" w:rsidP="00E058CE" w:rsidRDefault="00A214C9" w14:paraId="23F200BD" w14:textId="77777777">
      <w:pPr>
        <w:pStyle w:val="Default"/>
        <w:widowControl/>
        <w:numPr>
          <w:ilvl w:val="1"/>
          <w:numId w:val="21"/>
        </w:numPr>
        <w:spacing w:after="200"/>
        <w:jc w:val="both"/>
      </w:pPr>
      <w:r w:rsidRPr="00532434">
        <w:t>Within the context of this Policy, ‘enforcement’ includes action carried out in the exercise of, or against the background of,</w:t>
      </w:r>
      <w:r w:rsidRPr="00532434" w:rsidR="001126C9">
        <w:t xml:space="preserve"> statutory enforcement powers. </w:t>
      </w:r>
      <w:r w:rsidRPr="00532434">
        <w:t>This is not limited to formal enforcement action, such as prosecution or issue of notices, and</w:t>
      </w:r>
      <w:r w:rsidRPr="00532434" w:rsidR="00A2475D">
        <w:t xml:space="preserve"> so</w:t>
      </w:r>
      <w:r w:rsidRPr="00532434">
        <w:t xml:space="preserve"> includes inspection</w:t>
      </w:r>
      <w:r w:rsidRPr="00532434" w:rsidR="00A2475D">
        <w:t xml:space="preserve"> to</w:t>
      </w:r>
      <w:r w:rsidRPr="00532434">
        <w:t xml:space="preserve"> check compliance with legal or other requirements and the provisi</w:t>
      </w:r>
      <w:r w:rsidRPr="00532434" w:rsidR="001126C9">
        <w:t>on of advice to aid compliance.</w:t>
      </w:r>
    </w:p>
    <w:p w:rsidRPr="00532434" w:rsidR="00B26EDA" w:rsidP="00C249F8" w:rsidRDefault="00B26EDA" w14:paraId="16131E1E" w14:textId="77777777">
      <w:pPr>
        <w:pStyle w:val="Default"/>
        <w:widowControl/>
        <w:numPr>
          <w:ilvl w:val="1"/>
          <w:numId w:val="21"/>
        </w:numPr>
        <w:spacing w:after="200"/>
        <w:jc w:val="both"/>
      </w:pPr>
      <w:r w:rsidRPr="00532434">
        <w:t xml:space="preserve">For the purposes of this document ‘formal action’ </w:t>
      </w:r>
      <w:r w:rsidRPr="00532434" w:rsidR="005A56C6">
        <w:t>includes</w:t>
      </w:r>
      <w:r w:rsidRPr="00532434">
        <w:t xml:space="preserve">: Prosecution, Simple Caution, </w:t>
      </w:r>
      <w:r w:rsidRPr="00532434" w:rsidR="00FC1B79">
        <w:t xml:space="preserve">Injunctive Action, </w:t>
      </w:r>
      <w:r w:rsidRPr="00532434">
        <w:t xml:space="preserve">Enforcement Order, Issue of Notices, </w:t>
      </w:r>
      <w:r w:rsidRPr="00532434" w:rsidR="00C75251">
        <w:t xml:space="preserve">Monetary </w:t>
      </w:r>
      <w:r w:rsidRPr="00532434">
        <w:t xml:space="preserve">Penalties, Seizure, Suspension, </w:t>
      </w:r>
      <w:r w:rsidRPr="00532434" w:rsidR="005A56C6">
        <w:t xml:space="preserve">Withdrawal, Recall, </w:t>
      </w:r>
      <w:r w:rsidRPr="00532434">
        <w:t xml:space="preserve">Forfeiture, Revocation/Suspension of a licence, registration or approval, </w:t>
      </w:r>
      <w:r w:rsidRPr="00532434" w:rsidR="00DA589B">
        <w:t>D</w:t>
      </w:r>
      <w:r w:rsidRPr="00532434" w:rsidR="00DA589B">
        <w:rPr>
          <w:lang w:eastAsia="en-US"/>
        </w:rPr>
        <w:t xml:space="preserve">isqualification of weighing or measuring equipment, </w:t>
      </w:r>
      <w:r w:rsidRPr="00532434">
        <w:t>Works in Default</w:t>
      </w:r>
      <w:r w:rsidRPr="00532434" w:rsidR="00FC1B79">
        <w:t>, Criminal Behaviour Orders, or</w:t>
      </w:r>
      <w:r w:rsidRPr="00532434">
        <w:t xml:space="preserve"> any other criminal or civil/injunctive proceedings or statutory sanctions, applied either separately or in any other combination</w:t>
      </w:r>
      <w:r w:rsidRPr="00532434" w:rsidR="001126C9">
        <w:t>.</w:t>
      </w:r>
      <w:r w:rsidRPr="00532434" w:rsidR="00C86297">
        <w:t xml:space="preserve"> </w:t>
      </w:r>
    </w:p>
    <w:p w:rsidRPr="00532434" w:rsidR="00B26EDA" w:rsidP="00EE1B40" w:rsidRDefault="00E541E9" w14:paraId="76771500" w14:textId="77777777">
      <w:pPr>
        <w:pStyle w:val="Default"/>
        <w:widowControl/>
        <w:numPr>
          <w:ilvl w:val="1"/>
          <w:numId w:val="21"/>
        </w:numPr>
        <w:spacing w:after="200"/>
        <w:jc w:val="both"/>
      </w:pPr>
      <w:r w:rsidRPr="00532434">
        <w:t xml:space="preserve">Where appropriate </w:t>
      </w:r>
      <w:r w:rsidRPr="00532434" w:rsidR="003A23DE">
        <w:t>we</w:t>
      </w:r>
      <w:r w:rsidRPr="00532434">
        <w:t xml:space="preserve"> will seek to recover </w:t>
      </w:r>
      <w:r w:rsidRPr="00532434" w:rsidR="003A23DE">
        <w:t>our</w:t>
      </w:r>
      <w:r w:rsidRPr="00532434">
        <w:t xml:space="preserve"> enforcement costs, including making formal applications for costs through the Courts.</w:t>
      </w:r>
    </w:p>
    <w:p w:rsidRPr="00532434" w:rsidR="006D4046" w:rsidP="006D4046" w:rsidRDefault="006D4046" w14:paraId="516D925E" w14:textId="77777777">
      <w:pPr>
        <w:pStyle w:val="Default"/>
        <w:widowControl/>
        <w:spacing w:after="200"/>
        <w:jc w:val="both"/>
      </w:pPr>
    </w:p>
    <w:p w:rsidRPr="00532434" w:rsidR="00911AEB" w:rsidP="006D4046" w:rsidRDefault="00911AEB" w14:paraId="7394F33E" w14:textId="77777777">
      <w:pPr>
        <w:pStyle w:val="Default"/>
        <w:widowControl/>
        <w:spacing w:after="200"/>
        <w:jc w:val="both"/>
      </w:pPr>
    </w:p>
    <w:p w:rsidRPr="00532434" w:rsidR="00A61CAB" w:rsidP="00EE1B40" w:rsidRDefault="00A61CAB" w14:paraId="6CE8F916" w14:textId="77777777">
      <w:pPr>
        <w:autoSpaceDE w:val="0"/>
        <w:autoSpaceDN w:val="0"/>
        <w:adjustRightInd w:val="0"/>
        <w:rPr>
          <w:rFonts w:cs="Arial"/>
          <w:b/>
          <w:bCs/>
          <w:color w:val="000000"/>
          <w:sz w:val="32"/>
          <w:szCs w:val="32"/>
        </w:rPr>
      </w:pPr>
    </w:p>
    <w:p w:rsidRPr="00532434" w:rsidR="00A214C9" w:rsidP="00BD2A8D" w:rsidRDefault="00EE1B40" w14:paraId="34447C39" w14:textId="4FD65789">
      <w:pPr>
        <w:pStyle w:val="Heading2"/>
        <w:rPr>
          <w:i w:val="0"/>
          <w:iCs w:val="0"/>
        </w:rPr>
      </w:pPr>
      <w:r w:rsidRPr="00532434">
        <w:rPr>
          <w:i w:val="0"/>
          <w:iCs w:val="0"/>
        </w:rPr>
        <w:lastRenderedPageBreak/>
        <w:t>2</w:t>
      </w:r>
      <w:r w:rsidRPr="00532434">
        <w:rPr>
          <w:i w:val="0"/>
          <w:iCs w:val="0"/>
        </w:rPr>
        <w:tab/>
      </w:r>
      <w:r w:rsidRPr="00532434" w:rsidR="00A214C9">
        <w:rPr>
          <w:i w:val="0"/>
          <w:iCs w:val="0"/>
        </w:rPr>
        <w:t>Principles of Inspection &amp; Enforcement</w:t>
      </w:r>
    </w:p>
    <w:p w:rsidRPr="00532434" w:rsidR="00E058CE" w:rsidP="00E058CE" w:rsidRDefault="00E058CE" w14:paraId="425E635C" w14:textId="77777777">
      <w:pPr>
        <w:autoSpaceDE w:val="0"/>
        <w:autoSpaceDN w:val="0"/>
        <w:adjustRightInd w:val="0"/>
        <w:rPr>
          <w:rFonts w:cs="Arial"/>
          <w:bCs/>
          <w:color w:val="000000"/>
          <w:sz w:val="24"/>
          <w:szCs w:val="24"/>
        </w:rPr>
      </w:pPr>
    </w:p>
    <w:p w:rsidRPr="00532434" w:rsidR="009C47E4" w:rsidP="00EE1B40" w:rsidRDefault="00AD36F1" w14:paraId="3A16934B" w14:textId="77777777">
      <w:pPr>
        <w:numPr>
          <w:ilvl w:val="1"/>
          <w:numId w:val="25"/>
        </w:numPr>
        <w:autoSpaceDE w:val="0"/>
        <w:autoSpaceDN w:val="0"/>
        <w:adjustRightInd w:val="0"/>
        <w:rPr>
          <w:rFonts w:cs="Arial"/>
          <w:b/>
          <w:sz w:val="24"/>
          <w:szCs w:val="24"/>
        </w:rPr>
      </w:pPr>
      <w:r w:rsidRPr="00532434">
        <w:rPr>
          <w:rFonts w:cs="Arial"/>
          <w:b/>
          <w:sz w:val="24"/>
          <w:szCs w:val="24"/>
        </w:rPr>
        <w:t>Proportionality</w:t>
      </w:r>
    </w:p>
    <w:p w:rsidRPr="00532434" w:rsidR="00E058CE" w:rsidP="00E058CE" w:rsidRDefault="00E058CE" w14:paraId="0F1D7A0B" w14:textId="77777777">
      <w:pPr>
        <w:autoSpaceDE w:val="0"/>
        <w:autoSpaceDN w:val="0"/>
        <w:adjustRightInd w:val="0"/>
        <w:rPr>
          <w:rFonts w:cs="Arial"/>
          <w:b/>
          <w:sz w:val="24"/>
          <w:szCs w:val="24"/>
        </w:rPr>
      </w:pPr>
    </w:p>
    <w:p w:rsidRPr="00532434" w:rsidR="00AC229B" w:rsidP="00AC229B" w:rsidRDefault="00AC229B" w14:paraId="78DFAAA5" w14:textId="77777777">
      <w:pPr>
        <w:pStyle w:val="Default"/>
        <w:widowControl/>
        <w:numPr>
          <w:ilvl w:val="2"/>
          <w:numId w:val="25"/>
        </w:numPr>
        <w:adjustRightInd/>
        <w:spacing w:after="200"/>
        <w:jc w:val="both"/>
      </w:pPr>
      <w:r w:rsidRPr="00532434">
        <w:t>We are committed to avoiding the imposition of unnecessary regulatory burdens and will endeavour to minimise the cost of compliance by ensuring that any action taken, or advice offered, is proportionate to the seriousness of the breach, as well as the risk to p</w:t>
      </w:r>
      <w:r w:rsidRPr="00532434" w:rsidR="00485920">
        <w:t xml:space="preserve">eople, </w:t>
      </w:r>
      <w:r w:rsidRPr="00532434" w:rsidR="001A41F4">
        <w:t xml:space="preserve">businesses, </w:t>
      </w:r>
      <w:r w:rsidRPr="00532434" w:rsidR="002C5542">
        <w:t xml:space="preserve">other organisations, </w:t>
      </w:r>
      <w:r w:rsidRPr="00532434" w:rsidR="00485920">
        <w:t xml:space="preserve">animals, </w:t>
      </w:r>
      <w:r w:rsidRPr="00532434">
        <w:t>property, the community or the environment. In doing so we will choose approaches that are based on relevant factors including, for example, business size and capacity.</w:t>
      </w:r>
    </w:p>
    <w:p w:rsidRPr="00532434" w:rsidR="00DD1739" w:rsidP="00DD1739" w:rsidRDefault="00B64525" w14:paraId="37A2740D" w14:textId="4EB282B2">
      <w:pPr>
        <w:pStyle w:val="Default"/>
        <w:widowControl/>
        <w:numPr>
          <w:ilvl w:val="2"/>
          <w:numId w:val="25"/>
        </w:numPr>
        <w:adjustRightInd/>
        <w:spacing w:after="200"/>
        <w:jc w:val="both"/>
      </w:pPr>
      <w:r>
        <w:t xml:space="preserve">We </w:t>
      </w:r>
      <w:r w:rsidR="004F0CBF">
        <w:t xml:space="preserve">will </w:t>
      </w:r>
      <w:r>
        <w:t>usually give</w:t>
      </w:r>
      <w:r w:rsidR="004F0CBF">
        <w:t xml:space="preserve"> notice</w:t>
      </w:r>
      <w:r w:rsidR="006D4046">
        <w:t xml:space="preserve"> </w:t>
      </w:r>
      <w:r w:rsidR="004F0CBF">
        <w:t>of our intention</w:t>
      </w:r>
      <w:r w:rsidR="006D4046">
        <w:t xml:space="preserve"> to carry out</w:t>
      </w:r>
      <w:r>
        <w:t xml:space="preserve"> routine</w:t>
      </w:r>
      <w:r w:rsidR="006D4046">
        <w:t xml:space="preserve"> inspection visits, unless we are </w:t>
      </w:r>
      <w:r w:rsidR="00B643A6">
        <w:t xml:space="preserve">otherwise </w:t>
      </w:r>
      <w:r w:rsidR="006D4046">
        <w:t>required to visit unannounced,</w:t>
      </w:r>
      <w:r w:rsidR="00E32573">
        <w:t xml:space="preserve"> it is a reactive inspection visit, </w:t>
      </w:r>
      <w:r w:rsidR="006D4046">
        <w:t xml:space="preserve">or we have </w:t>
      </w:r>
      <w:r w:rsidR="004F0CBF">
        <w:t xml:space="preserve">a </w:t>
      </w:r>
      <w:r w:rsidR="00C171D5">
        <w:t>specific</w:t>
      </w:r>
      <w:r w:rsidR="24828C2C">
        <w:t xml:space="preserve"> or legal</w:t>
      </w:r>
      <w:r w:rsidR="00C171D5">
        <w:t xml:space="preserve"> reason for </w:t>
      </w:r>
      <w:r w:rsidR="00C90A93">
        <w:t>not giving prior notice</w:t>
      </w:r>
      <w:r w:rsidR="00D31BB0">
        <w:t xml:space="preserve">. For </w:t>
      </w:r>
      <w:r w:rsidR="00A8070C">
        <w:t>example,</w:t>
      </w:r>
      <w:r w:rsidR="00D31BB0">
        <w:t xml:space="preserve"> this would include </w:t>
      </w:r>
      <w:r w:rsidR="00777D28">
        <w:t>where the</w:t>
      </w:r>
      <w:r w:rsidR="00C171D5">
        <w:t xml:space="preserve"> identity of the person or premises is unknown, or </w:t>
      </w:r>
      <w:r w:rsidR="00C90A93">
        <w:t xml:space="preserve">where </w:t>
      </w:r>
      <w:r w:rsidR="00C171D5">
        <w:t>it would defeat the object</w:t>
      </w:r>
      <w:r w:rsidR="00F14E16">
        <w:t>ives</w:t>
      </w:r>
      <w:r w:rsidR="00C171D5">
        <w:t xml:space="preserve"> of the </w:t>
      </w:r>
      <w:r w:rsidR="00C90A93">
        <w:t xml:space="preserve">inspection </w:t>
      </w:r>
      <w:r w:rsidR="00C171D5">
        <w:t xml:space="preserve">visit to give </w:t>
      </w:r>
      <w:r w:rsidR="00523DC3">
        <w:t xml:space="preserve">such </w:t>
      </w:r>
      <w:r w:rsidR="001126C9">
        <w:t>notice.</w:t>
      </w:r>
      <w:r w:rsidR="00D31BB0">
        <w:t xml:space="preserve"> </w:t>
      </w:r>
    </w:p>
    <w:p w:rsidRPr="00532434" w:rsidR="009C47E4" w:rsidP="00F048F5" w:rsidRDefault="009C47E4" w14:paraId="6E4AF727" w14:textId="77777777">
      <w:pPr>
        <w:pStyle w:val="Default"/>
        <w:widowControl/>
        <w:numPr>
          <w:ilvl w:val="2"/>
          <w:numId w:val="25"/>
        </w:numPr>
        <w:spacing w:after="200"/>
        <w:jc w:val="both"/>
      </w:pPr>
      <w:r w:rsidRPr="00532434">
        <w:t xml:space="preserve">As far as the law allows, we will take account of the circumstances of the case and attitude of the people involved when considering action. We will take particular care to work with businesses and </w:t>
      </w:r>
      <w:r w:rsidRPr="00532434" w:rsidR="00A2475D">
        <w:t>individuals</w:t>
      </w:r>
      <w:r w:rsidRPr="00532434">
        <w:t xml:space="preserve"> so that, where practicable, they can meet their legal obligations without unnecessary expense</w:t>
      </w:r>
      <w:r w:rsidRPr="00532434" w:rsidR="001126C9">
        <w:t>,</w:t>
      </w:r>
      <w:r w:rsidRPr="00532434">
        <w:t xml:space="preserve"> to sup</w:t>
      </w:r>
      <w:r w:rsidRPr="00532434" w:rsidR="00A2475D">
        <w:t>port and enable economic growth.</w:t>
      </w:r>
    </w:p>
    <w:p w:rsidRPr="00532434" w:rsidR="00A23B69" w:rsidP="00D93BA3" w:rsidRDefault="009C47E4" w14:paraId="4CF88A9A" w14:textId="77777777">
      <w:pPr>
        <w:pStyle w:val="Default"/>
        <w:widowControl/>
        <w:numPr>
          <w:ilvl w:val="2"/>
          <w:numId w:val="25"/>
        </w:numPr>
        <w:spacing w:after="200"/>
        <w:jc w:val="both"/>
      </w:pPr>
      <w:r w:rsidRPr="00532434">
        <w:t xml:space="preserve">The most serious formal action, including prosecution, will be reserved </w:t>
      </w:r>
      <w:r w:rsidRPr="00532434" w:rsidR="00217EA8">
        <w:t>f</w:t>
      </w:r>
      <w:r w:rsidRPr="00532434" w:rsidR="001126C9">
        <w:t>or serious breaches of the law.</w:t>
      </w:r>
    </w:p>
    <w:p w:rsidRPr="00532434" w:rsidR="00374BCA" w:rsidP="00EE1B40" w:rsidRDefault="00F7036C" w14:paraId="75EA2476" w14:textId="77777777">
      <w:pPr>
        <w:numPr>
          <w:ilvl w:val="1"/>
          <w:numId w:val="25"/>
        </w:numPr>
        <w:autoSpaceDE w:val="0"/>
        <w:autoSpaceDN w:val="0"/>
        <w:adjustRightInd w:val="0"/>
        <w:rPr>
          <w:rFonts w:cs="Arial"/>
          <w:b/>
          <w:sz w:val="24"/>
          <w:szCs w:val="24"/>
        </w:rPr>
      </w:pPr>
      <w:r w:rsidRPr="00532434">
        <w:rPr>
          <w:rFonts w:cs="Arial"/>
          <w:b/>
          <w:sz w:val="24"/>
          <w:szCs w:val="24"/>
        </w:rPr>
        <w:t>Accountability</w:t>
      </w:r>
    </w:p>
    <w:p w:rsidRPr="00532434" w:rsidR="00EE1B40" w:rsidP="00EE1B40" w:rsidRDefault="00EE1B40" w14:paraId="3285C000" w14:textId="77777777">
      <w:pPr>
        <w:autoSpaceDE w:val="0"/>
        <w:autoSpaceDN w:val="0"/>
        <w:adjustRightInd w:val="0"/>
        <w:rPr>
          <w:rFonts w:cs="Arial"/>
          <w:sz w:val="24"/>
          <w:szCs w:val="24"/>
        </w:rPr>
      </w:pPr>
    </w:p>
    <w:p w:rsidRPr="00532434" w:rsidR="00394D16" w:rsidP="00F048F5" w:rsidRDefault="00394D16" w14:paraId="502380AA" w14:textId="77777777">
      <w:pPr>
        <w:pStyle w:val="Default"/>
        <w:widowControl/>
        <w:numPr>
          <w:ilvl w:val="2"/>
          <w:numId w:val="25"/>
        </w:numPr>
        <w:spacing w:after="200"/>
        <w:jc w:val="both"/>
      </w:pPr>
      <w:r w:rsidRPr="00532434">
        <w:t xml:space="preserve">We will actively work with businesses and </w:t>
      </w:r>
      <w:r w:rsidRPr="00532434" w:rsidR="00A2475D">
        <w:t>individuals</w:t>
      </w:r>
      <w:r w:rsidRPr="00532434">
        <w:t xml:space="preserve"> to advise and to assist with compliance and requests for help. Contact points and telephone numbers will be provid</w:t>
      </w:r>
      <w:r w:rsidRPr="00532434" w:rsidR="001126C9">
        <w:t>ed for business and public use.</w:t>
      </w:r>
    </w:p>
    <w:p w:rsidRPr="00532434" w:rsidR="0027167F" w:rsidP="2D1CDE2C" w:rsidRDefault="00F048F5" w14:paraId="7D0BCA3A" w14:textId="5B20D2EA">
      <w:pPr>
        <w:pStyle w:val="Default"/>
        <w:widowControl/>
        <w:numPr>
          <w:ilvl w:val="2"/>
          <w:numId w:val="25"/>
        </w:numPr>
        <w:spacing w:after="200"/>
        <w:jc w:val="both"/>
        <w:rPr>
          <w:rFonts w:eastAsia="Arial"/>
          <w:color w:val="auto"/>
        </w:rPr>
      </w:pPr>
      <w:r>
        <w:t xml:space="preserve">We will aim to carry </w:t>
      </w:r>
      <w:r w:rsidR="00394D16">
        <w:t xml:space="preserve">out visits and inspections </w:t>
      </w:r>
      <w:r w:rsidR="00A2475D">
        <w:t>at a reasonable time</w:t>
      </w:r>
      <w:r w:rsidR="00394D16">
        <w:t xml:space="preserve"> </w:t>
      </w:r>
      <w:r w:rsidR="00345D5B">
        <w:t xml:space="preserve">and </w:t>
      </w:r>
      <w:r w:rsidR="00A2475D">
        <w:t xml:space="preserve">where </w:t>
      </w:r>
      <w:r w:rsidR="00394D16">
        <w:t xml:space="preserve">appropriate to do so. </w:t>
      </w:r>
      <w:r w:rsidR="001A41F4">
        <w:t>In most cases o</w:t>
      </w:r>
      <w:r w:rsidR="00394D16">
        <w:t>ur staff will show their identification (and authority if requested) at the outset of every visit and explain the reason for the visit</w:t>
      </w:r>
      <w:r w:rsidR="001A41F4">
        <w:t>.</w:t>
      </w:r>
      <w:r w:rsidR="0027167F">
        <w:t xml:space="preserve"> </w:t>
      </w:r>
      <w:r w:rsidR="00B26052">
        <w:t xml:space="preserve">However, </w:t>
      </w:r>
      <w:r w:rsidR="001A41F4">
        <w:t>s</w:t>
      </w:r>
      <w:r w:rsidR="00311C83">
        <w:t xml:space="preserve">o </w:t>
      </w:r>
      <w:r w:rsidR="00C147DD">
        <w:t xml:space="preserve">that </w:t>
      </w:r>
      <w:r w:rsidR="00311C83">
        <w:t>we</w:t>
      </w:r>
      <w:r w:rsidR="0027167F">
        <w:t xml:space="preserve"> can see things from the point of view of a customer or ordinary member of the public, </w:t>
      </w:r>
      <w:r w:rsidR="00991524">
        <w:t xml:space="preserve">we may carry out informal visits or </w:t>
      </w:r>
      <w:r w:rsidR="001A41F4">
        <w:t xml:space="preserve">arrange to </w:t>
      </w:r>
      <w:r w:rsidR="00991524">
        <w:t>buy goods or services and not introduce ourselves.</w:t>
      </w:r>
      <w:r w:rsidR="0027167F">
        <w:t xml:space="preserve"> Where we </w:t>
      </w:r>
      <w:r w:rsidR="004148C2">
        <w:t>must</w:t>
      </w:r>
      <w:r w:rsidR="0027167F">
        <w:t xml:space="preserve"> use a young person to carry out work on our behalf, such as in attempting </w:t>
      </w:r>
      <w:r w:rsidR="00311C83">
        <w:t>to</w:t>
      </w:r>
      <w:r w:rsidR="0027167F">
        <w:t xml:space="preserve"> purchase age-restricted products, we will always</w:t>
      </w:r>
      <w:r w:rsidRPr="2D1CDE2C" w:rsidR="0027167F">
        <w:rPr>
          <w:rFonts w:eastAsia="Arial"/>
          <w:color w:val="auto"/>
        </w:rPr>
        <w:t xml:space="preserve"> </w:t>
      </w:r>
      <w:r w:rsidRPr="2D1CDE2C" w:rsidR="0DF86181">
        <w:rPr>
          <w:rFonts w:eastAsia="Arial"/>
          <w:color w:val="auto"/>
        </w:rPr>
        <w:t>have regard to the latest guidance and Codes of Practice.</w:t>
      </w:r>
    </w:p>
    <w:p w:rsidRPr="00532434" w:rsidR="00394D16" w:rsidP="006C3AB9" w:rsidRDefault="00394D16" w14:paraId="485A166B" w14:textId="2A8D6B70">
      <w:pPr>
        <w:pStyle w:val="Default"/>
        <w:widowControl/>
        <w:numPr>
          <w:ilvl w:val="2"/>
          <w:numId w:val="25"/>
        </w:numPr>
        <w:spacing w:after="200"/>
        <w:jc w:val="both"/>
      </w:pPr>
      <w:r>
        <w:t>Out</w:t>
      </w:r>
      <w:r w:rsidR="00EF0D68">
        <w:t>-</w:t>
      </w:r>
      <w:r>
        <w:t>of</w:t>
      </w:r>
      <w:r w:rsidR="00EF0D68">
        <w:t>-</w:t>
      </w:r>
      <w:r>
        <w:t xml:space="preserve">hours contact for services will be provided where there is a need for an immediate response/risk to public health, safety or damage to property, </w:t>
      </w:r>
      <w:r w:rsidR="004148C2">
        <w:t>infrastructure,</w:t>
      </w:r>
      <w:r>
        <w:t xml:space="preserve"> or the environment.</w:t>
      </w:r>
    </w:p>
    <w:p w:rsidRPr="00532434" w:rsidR="00394D16" w:rsidP="00F048F5" w:rsidRDefault="00394D16" w14:paraId="431AF0BF" w14:textId="073ECB9B">
      <w:pPr>
        <w:pStyle w:val="Default"/>
        <w:widowControl/>
        <w:numPr>
          <w:ilvl w:val="2"/>
          <w:numId w:val="25"/>
        </w:numPr>
        <w:spacing w:after="200"/>
        <w:jc w:val="both"/>
      </w:pPr>
      <w:r>
        <w:t xml:space="preserve">The whole range of enforcement activities will be dealt with as promptly and efficiently as possible </w:t>
      </w:r>
      <w:r w:rsidR="004148C2">
        <w:t>to</w:t>
      </w:r>
      <w:r>
        <w:t xml:space="preserve"> minimise time delays.</w:t>
      </w:r>
    </w:p>
    <w:p w:rsidR="00394D16" w:rsidP="00F048F5" w:rsidRDefault="00394D16" w14:paraId="7B929C1C" w14:textId="14E10D00">
      <w:pPr>
        <w:pStyle w:val="Default"/>
        <w:widowControl/>
        <w:numPr>
          <w:ilvl w:val="2"/>
          <w:numId w:val="25"/>
        </w:numPr>
        <w:spacing w:after="200"/>
        <w:jc w:val="both"/>
      </w:pPr>
      <w:r>
        <w:t>Where appropriate</w:t>
      </w:r>
      <w:r w:rsidR="001126C9">
        <w:t>,</w:t>
      </w:r>
      <w:r>
        <w:t xml:space="preserve"> feedback questionnaires will be used to gather and act upon information</w:t>
      </w:r>
      <w:r w:rsidR="001126C9">
        <w:t xml:space="preserve"> about the services we provide.</w:t>
      </w:r>
    </w:p>
    <w:p w:rsidRPr="00532434" w:rsidR="00630255" w:rsidP="00F048F5" w:rsidRDefault="00630255" w14:paraId="18BC661D" w14:textId="5250E93F">
      <w:pPr>
        <w:pStyle w:val="Default"/>
        <w:widowControl/>
        <w:numPr>
          <w:ilvl w:val="2"/>
          <w:numId w:val="25"/>
        </w:numPr>
        <w:spacing w:after="200"/>
        <w:jc w:val="both"/>
      </w:pPr>
      <w:r>
        <w:lastRenderedPageBreak/>
        <w:t>Where possible we will include information to highlight new legal requirements, via our social media platforms and/or website, with reports or letters provided after an inspection or visit; and/or by providing or signposting advice and information to help businesses and individuals keep up to date.</w:t>
      </w:r>
    </w:p>
    <w:p w:rsidRPr="00532434" w:rsidR="00485920" w:rsidP="000F575B" w:rsidRDefault="00B26052" w14:paraId="250EDAA0" w14:textId="4E336573">
      <w:pPr>
        <w:pStyle w:val="Default"/>
        <w:widowControl/>
        <w:numPr>
          <w:ilvl w:val="2"/>
          <w:numId w:val="25"/>
        </w:numPr>
        <w:spacing w:after="200"/>
        <w:jc w:val="both"/>
        <w:rPr>
          <w:b/>
        </w:rPr>
      </w:pPr>
      <w:r>
        <w:t xml:space="preserve">We </w:t>
      </w:r>
      <w:r w:rsidR="00485920">
        <w:t>will have re</w:t>
      </w:r>
      <w:r w:rsidR="00E82C4C">
        <w:t>gard to fairness and individual</w:t>
      </w:r>
      <w:r w:rsidR="00485920">
        <w:t>s</w:t>
      </w:r>
      <w:r w:rsidR="00E82C4C">
        <w:t>’</w:t>
      </w:r>
      <w:r w:rsidR="00485920">
        <w:t xml:space="preserve"> human rights in </w:t>
      </w:r>
      <w:r w:rsidR="004148C2">
        <w:t>all</w:t>
      </w:r>
      <w:r w:rsidR="00485920">
        <w:t xml:space="preserve"> our enforcement work through conforming to the European Convention on Human Rights (as implemented by the Human Rights Act 1998).</w:t>
      </w:r>
    </w:p>
    <w:p w:rsidRPr="00532434" w:rsidR="00EE0E64" w:rsidP="00EE1B40" w:rsidRDefault="009B0252" w14:paraId="45E5E61F" w14:textId="77777777">
      <w:pPr>
        <w:numPr>
          <w:ilvl w:val="1"/>
          <w:numId w:val="25"/>
        </w:numPr>
        <w:autoSpaceDE w:val="0"/>
        <w:autoSpaceDN w:val="0"/>
        <w:adjustRightInd w:val="0"/>
        <w:rPr>
          <w:rFonts w:cs="Arial"/>
          <w:b/>
          <w:sz w:val="24"/>
          <w:szCs w:val="24"/>
        </w:rPr>
      </w:pPr>
      <w:r w:rsidRPr="00532434">
        <w:rPr>
          <w:rFonts w:cs="Arial"/>
          <w:b/>
          <w:sz w:val="24"/>
          <w:szCs w:val="24"/>
        </w:rPr>
        <w:t>Consistency</w:t>
      </w:r>
    </w:p>
    <w:p w:rsidRPr="00532434" w:rsidR="00EE1B40" w:rsidP="00EE1B40" w:rsidRDefault="00EE1B40" w14:paraId="1FB9FD5E" w14:textId="77777777">
      <w:pPr>
        <w:autoSpaceDE w:val="0"/>
        <w:autoSpaceDN w:val="0"/>
        <w:adjustRightInd w:val="0"/>
        <w:rPr>
          <w:rFonts w:cs="Arial"/>
          <w:b/>
        </w:rPr>
      </w:pPr>
    </w:p>
    <w:p w:rsidRPr="00532434" w:rsidR="004B26DF" w:rsidP="00F048F5" w:rsidRDefault="000345FB" w14:paraId="3D39CB47" w14:textId="77777777">
      <w:pPr>
        <w:pStyle w:val="Default"/>
        <w:widowControl/>
        <w:numPr>
          <w:ilvl w:val="2"/>
          <w:numId w:val="25"/>
        </w:numPr>
        <w:spacing w:after="200"/>
        <w:jc w:val="both"/>
      </w:pPr>
      <w:r w:rsidRPr="00532434">
        <w:t>All officers are required to act in accordance with this enforcement policy and o</w:t>
      </w:r>
      <w:r w:rsidRPr="00532434" w:rsidR="00F048F5">
        <w:t>ur published service standards.</w:t>
      </w:r>
    </w:p>
    <w:p w:rsidRPr="00532434" w:rsidR="003329A0" w:rsidP="00F048F5" w:rsidRDefault="004B26DF" w14:paraId="6D382B3F" w14:textId="4E361F4B">
      <w:pPr>
        <w:pStyle w:val="Default"/>
        <w:widowControl/>
        <w:numPr>
          <w:ilvl w:val="2"/>
          <w:numId w:val="25"/>
        </w:numPr>
        <w:spacing w:after="200"/>
        <w:jc w:val="both"/>
      </w:pPr>
      <w:r w:rsidRPr="00532434">
        <w:t>We will carry out our enforcement and advisory functions in an</w:t>
      </w:r>
      <w:r w:rsidRPr="00532434" w:rsidR="009C47E4">
        <w:t xml:space="preserve"> </w:t>
      </w:r>
      <w:r w:rsidRPr="00532434">
        <w:t xml:space="preserve">equitable, </w:t>
      </w:r>
      <w:r w:rsidRPr="00532434" w:rsidR="004148C2">
        <w:t>practical,</w:t>
      </w:r>
      <w:r w:rsidRPr="00532434" w:rsidR="001126C9">
        <w:t xml:space="preserve"> and consistent manner. </w:t>
      </w:r>
      <w:r w:rsidRPr="00532434">
        <w:t>We will adopt and adhere to</w:t>
      </w:r>
      <w:r w:rsidRPr="00532434" w:rsidR="009C47E4">
        <w:t xml:space="preserve"> </w:t>
      </w:r>
      <w:r w:rsidRPr="00532434">
        <w:t>relevant policy and guidance and will ensure that our officers</w:t>
      </w:r>
      <w:r w:rsidRPr="00532434" w:rsidR="000345FB">
        <w:t xml:space="preserve"> are</w:t>
      </w:r>
      <w:r w:rsidRPr="00532434" w:rsidR="009C47E4">
        <w:t xml:space="preserve"> </w:t>
      </w:r>
      <w:r w:rsidRPr="00532434" w:rsidR="000345FB">
        <w:t xml:space="preserve">suitably trained, </w:t>
      </w:r>
      <w:r w:rsidRPr="00532434" w:rsidR="004148C2">
        <w:t>qualified,</w:t>
      </w:r>
      <w:r w:rsidRPr="00532434" w:rsidR="000345FB">
        <w:t xml:space="preserve"> and authorised to undertake their enforcement</w:t>
      </w:r>
      <w:r w:rsidRPr="00532434" w:rsidR="009C47E4">
        <w:t xml:space="preserve"> </w:t>
      </w:r>
      <w:r w:rsidRPr="00532434" w:rsidR="000345FB">
        <w:t xml:space="preserve">duties, and </w:t>
      </w:r>
      <w:r w:rsidRPr="00532434">
        <w:t>understand the</w:t>
      </w:r>
      <w:r w:rsidRPr="00532434" w:rsidR="000345FB">
        <w:t xml:space="preserve"> </w:t>
      </w:r>
      <w:r w:rsidRPr="00532434">
        <w:t>principles of good regulation</w:t>
      </w:r>
      <w:r w:rsidRPr="00532434" w:rsidR="00A2475D">
        <w:t>.</w:t>
      </w:r>
    </w:p>
    <w:p w:rsidRPr="00532434" w:rsidR="00B067B4" w:rsidP="004148C2" w:rsidRDefault="00A2475D" w14:paraId="1EE00288" w14:textId="77777777">
      <w:pPr>
        <w:pStyle w:val="Default"/>
        <w:widowControl/>
        <w:numPr>
          <w:ilvl w:val="2"/>
          <w:numId w:val="25"/>
        </w:numPr>
        <w:spacing w:after="200"/>
        <w:jc w:val="both"/>
      </w:pPr>
      <w:r w:rsidRPr="00532434">
        <w:t>Where appropriate</w:t>
      </w:r>
      <w:r w:rsidRPr="00532434" w:rsidR="001126C9">
        <w:t>,</w:t>
      </w:r>
      <w:r w:rsidRPr="00532434">
        <w:t xml:space="preserve"> we will </w:t>
      </w:r>
      <w:r w:rsidRPr="00532434" w:rsidR="004B26DF">
        <w:t>p</w:t>
      </w:r>
      <w:r w:rsidRPr="00532434" w:rsidR="00B067B4">
        <w:t>ublish clear service standards providing information on</w:t>
      </w:r>
      <w:r w:rsidRPr="00532434" w:rsidR="004B26DF">
        <w:t>:</w:t>
      </w:r>
    </w:p>
    <w:p w:rsidRPr="00532434" w:rsidR="00B067B4" w:rsidP="004148C2" w:rsidRDefault="00B067B4" w14:paraId="12CDCB97" w14:textId="77777777">
      <w:pPr>
        <w:numPr>
          <w:ilvl w:val="0"/>
          <w:numId w:val="15"/>
        </w:numPr>
        <w:jc w:val="both"/>
        <w:rPr>
          <w:rFonts w:cs="Arial"/>
          <w:color w:val="000000"/>
          <w:sz w:val="24"/>
          <w:szCs w:val="24"/>
        </w:rPr>
      </w:pPr>
      <w:r w:rsidRPr="00532434">
        <w:rPr>
          <w:rFonts w:cs="Arial"/>
          <w:color w:val="000000"/>
          <w:sz w:val="24"/>
          <w:szCs w:val="24"/>
        </w:rPr>
        <w:t>How we communicate and how we can be contacted</w:t>
      </w:r>
    </w:p>
    <w:p w:rsidRPr="00532434" w:rsidR="00B067B4" w:rsidP="004148C2" w:rsidRDefault="00B067B4" w14:paraId="7C080B76" w14:textId="09A976FC">
      <w:pPr>
        <w:numPr>
          <w:ilvl w:val="0"/>
          <w:numId w:val="15"/>
        </w:numPr>
        <w:jc w:val="both"/>
        <w:rPr>
          <w:rFonts w:cs="Arial"/>
          <w:color w:val="000000"/>
          <w:sz w:val="24"/>
          <w:szCs w:val="24"/>
        </w:rPr>
      </w:pPr>
      <w:r w:rsidRPr="00532434">
        <w:rPr>
          <w:rFonts w:cs="Arial"/>
          <w:color w:val="000000"/>
          <w:sz w:val="24"/>
          <w:szCs w:val="24"/>
        </w:rPr>
        <w:t xml:space="preserve">Our approach to providing information, </w:t>
      </w:r>
      <w:r w:rsidRPr="00532434" w:rsidR="004148C2">
        <w:rPr>
          <w:rFonts w:cs="Arial"/>
          <w:color w:val="000000"/>
          <w:sz w:val="24"/>
          <w:szCs w:val="24"/>
        </w:rPr>
        <w:t>guidance,</w:t>
      </w:r>
      <w:r w:rsidRPr="00532434">
        <w:rPr>
          <w:rFonts w:cs="Arial"/>
          <w:color w:val="000000"/>
          <w:sz w:val="24"/>
          <w:szCs w:val="24"/>
        </w:rPr>
        <w:t xml:space="preserve"> and advice</w:t>
      </w:r>
    </w:p>
    <w:p w:rsidRPr="00532434" w:rsidR="00B067B4" w:rsidP="004148C2" w:rsidRDefault="00B067B4" w14:paraId="5BACA321" w14:textId="77777777">
      <w:pPr>
        <w:numPr>
          <w:ilvl w:val="0"/>
          <w:numId w:val="15"/>
        </w:numPr>
        <w:jc w:val="both"/>
        <w:rPr>
          <w:rFonts w:cs="Arial"/>
          <w:color w:val="000000"/>
          <w:sz w:val="24"/>
          <w:szCs w:val="24"/>
        </w:rPr>
      </w:pPr>
      <w:r w:rsidRPr="00532434">
        <w:rPr>
          <w:rFonts w:cs="Arial"/>
          <w:color w:val="000000"/>
          <w:sz w:val="24"/>
          <w:szCs w:val="24"/>
        </w:rPr>
        <w:t>Our risk assessment methodology used to determine inspection activity, clearly setting out what can be expected from us at the time of visit</w:t>
      </w:r>
    </w:p>
    <w:p w:rsidRPr="00532434" w:rsidR="00B067B4" w:rsidP="004148C2" w:rsidRDefault="00520E70" w14:paraId="08FB0D2C" w14:textId="77777777">
      <w:pPr>
        <w:numPr>
          <w:ilvl w:val="0"/>
          <w:numId w:val="15"/>
        </w:numPr>
        <w:jc w:val="both"/>
        <w:rPr>
          <w:rFonts w:cs="Arial"/>
          <w:color w:val="000000"/>
          <w:sz w:val="24"/>
          <w:szCs w:val="24"/>
        </w:rPr>
      </w:pPr>
      <w:r w:rsidRPr="00532434">
        <w:rPr>
          <w:rFonts w:cs="Arial"/>
          <w:color w:val="000000"/>
          <w:sz w:val="24"/>
          <w:szCs w:val="24"/>
        </w:rPr>
        <w:t xml:space="preserve">Any applicable </w:t>
      </w:r>
      <w:r w:rsidRPr="00532434" w:rsidR="00B067B4">
        <w:rPr>
          <w:rFonts w:cs="Arial"/>
          <w:color w:val="000000"/>
          <w:sz w:val="24"/>
          <w:szCs w:val="24"/>
        </w:rPr>
        <w:t>fees and charges; and</w:t>
      </w:r>
      <w:r w:rsidRPr="00532434" w:rsidR="00E70952">
        <w:rPr>
          <w:rFonts w:cs="Arial"/>
          <w:color w:val="000000"/>
          <w:sz w:val="24"/>
          <w:szCs w:val="24"/>
        </w:rPr>
        <w:t xml:space="preserve"> </w:t>
      </w:r>
    </w:p>
    <w:p w:rsidRPr="00532434" w:rsidR="00374BCA" w:rsidP="004148C2" w:rsidRDefault="00B067B4" w14:paraId="2234FED8" w14:textId="77777777">
      <w:pPr>
        <w:numPr>
          <w:ilvl w:val="0"/>
          <w:numId w:val="15"/>
        </w:numPr>
        <w:jc w:val="both"/>
        <w:rPr>
          <w:rFonts w:cs="Arial"/>
          <w:color w:val="000000"/>
          <w:sz w:val="24"/>
          <w:szCs w:val="24"/>
        </w:rPr>
      </w:pPr>
      <w:r w:rsidRPr="00532434">
        <w:rPr>
          <w:rFonts w:cs="Arial"/>
          <w:color w:val="000000"/>
          <w:sz w:val="24"/>
          <w:szCs w:val="24"/>
        </w:rPr>
        <w:t>How to comment or complain about the</w:t>
      </w:r>
      <w:r w:rsidRPr="00532434" w:rsidR="00D37E73">
        <w:rPr>
          <w:rFonts w:cs="Arial"/>
          <w:color w:val="000000"/>
          <w:sz w:val="24"/>
          <w:szCs w:val="24"/>
        </w:rPr>
        <w:t xml:space="preserve"> service provided and the route</w:t>
      </w:r>
      <w:r w:rsidRPr="00532434">
        <w:rPr>
          <w:rFonts w:cs="Arial"/>
          <w:color w:val="000000"/>
          <w:sz w:val="24"/>
          <w:szCs w:val="24"/>
        </w:rPr>
        <w:t>s to appeal</w:t>
      </w:r>
      <w:r w:rsidRPr="00532434" w:rsidR="001126C9">
        <w:rPr>
          <w:rFonts w:cs="Arial"/>
          <w:color w:val="000000"/>
          <w:sz w:val="24"/>
          <w:szCs w:val="24"/>
        </w:rPr>
        <w:t>.</w:t>
      </w:r>
    </w:p>
    <w:p w:rsidRPr="00532434" w:rsidR="004A22F1" w:rsidP="00A23B69" w:rsidRDefault="004A22F1" w14:paraId="66215E3D" w14:textId="77777777">
      <w:pPr>
        <w:rPr>
          <w:rFonts w:cs="Arial"/>
          <w:color w:val="000000"/>
          <w:sz w:val="24"/>
          <w:szCs w:val="24"/>
        </w:rPr>
      </w:pPr>
    </w:p>
    <w:p w:rsidRPr="00532434" w:rsidR="004B26DF" w:rsidP="00E74487" w:rsidRDefault="004B26DF" w14:paraId="292925B9" w14:textId="77777777">
      <w:pPr>
        <w:pStyle w:val="Default"/>
        <w:widowControl/>
        <w:numPr>
          <w:ilvl w:val="1"/>
          <w:numId w:val="25"/>
        </w:numPr>
        <w:spacing w:after="200"/>
        <w:jc w:val="both"/>
        <w:rPr>
          <w:b/>
        </w:rPr>
      </w:pPr>
      <w:r w:rsidRPr="00532434">
        <w:rPr>
          <w:b/>
        </w:rPr>
        <w:t>Transparency</w:t>
      </w:r>
    </w:p>
    <w:p w:rsidRPr="00532434" w:rsidR="004B26DF" w:rsidP="00E74487" w:rsidRDefault="004B26DF" w14:paraId="2A9902B3" w14:textId="177048DD">
      <w:pPr>
        <w:pStyle w:val="Default"/>
        <w:widowControl/>
        <w:numPr>
          <w:ilvl w:val="2"/>
          <w:numId w:val="25"/>
        </w:numPr>
        <w:spacing w:after="200"/>
        <w:jc w:val="both"/>
      </w:pPr>
      <w:r w:rsidRPr="00532434">
        <w:t xml:space="preserve">In most circumstances we will seek to ensure that people affected by formal action are informed of what is </w:t>
      </w:r>
      <w:r w:rsidRPr="00532434" w:rsidR="006923F2">
        <w:t>planned and</w:t>
      </w:r>
      <w:r w:rsidRPr="00532434">
        <w:t xml:space="preserve"> allow for discussion and time to respo</w:t>
      </w:r>
      <w:r w:rsidRPr="00532434" w:rsidR="001126C9">
        <w:t xml:space="preserve">nd before the action is taken. </w:t>
      </w:r>
      <w:r w:rsidRPr="00532434">
        <w:t>We will also give them a na</w:t>
      </w:r>
      <w:r w:rsidRPr="00532434" w:rsidR="003A0551">
        <w:t xml:space="preserve">med officer’s contact details. </w:t>
      </w:r>
      <w:r w:rsidRPr="00532434">
        <w:t>These arrangements must have regard to legal constraints and requirements.</w:t>
      </w:r>
    </w:p>
    <w:p w:rsidRPr="00532434" w:rsidR="00922846" w:rsidP="00E74487" w:rsidRDefault="004B26DF" w14:paraId="4B09545C" w14:textId="77777777">
      <w:pPr>
        <w:pStyle w:val="Default"/>
        <w:widowControl/>
        <w:numPr>
          <w:ilvl w:val="2"/>
          <w:numId w:val="25"/>
        </w:numPr>
        <w:spacing w:after="200"/>
        <w:jc w:val="both"/>
      </w:pPr>
      <w:r w:rsidRPr="00532434">
        <w:t>When a notice is served it will say what needs to be done, why, and by when, and that in the officer’s opinion a breach of the law has been committed and why the notice is necessary.</w:t>
      </w:r>
      <w:r w:rsidRPr="00532434" w:rsidR="00624464">
        <w:t xml:space="preserve"> </w:t>
      </w:r>
      <w:r w:rsidRPr="00532434">
        <w:t>We will</w:t>
      </w:r>
      <w:r w:rsidRPr="00532434" w:rsidR="00624464">
        <w:t xml:space="preserve"> also</w:t>
      </w:r>
      <w:r w:rsidRPr="00532434">
        <w:t xml:space="preserve"> make a clear distinction between legal requirements and recommended works.</w:t>
      </w:r>
    </w:p>
    <w:p w:rsidRPr="00532434" w:rsidR="00374BCA" w:rsidP="00293182" w:rsidRDefault="004B26DF" w14:paraId="3FF62444" w14:textId="49A7F2F1">
      <w:pPr>
        <w:pStyle w:val="Default"/>
        <w:widowControl/>
        <w:numPr>
          <w:ilvl w:val="2"/>
          <w:numId w:val="25"/>
        </w:numPr>
        <w:spacing w:after="200"/>
        <w:jc w:val="both"/>
      </w:pPr>
      <w:r w:rsidRPr="00532434">
        <w:t>As part of our commitment to equality we</w:t>
      </w:r>
      <w:r w:rsidRPr="00532434" w:rsidR="00293182">
        <w:t xml:space="preserve"> w</w:t>
      </w:r>
      <w:r w:rsidRPr="00532434">
        <w:t xml:space="preserve">ill communicate in a clear, accessible, concise, format using media appropriate to the target audience, in plain language. Where businesses or the public do not have English as a first </w:t>
      </w:r>
      <w:r w:rsidRPr="00532434" w:rsidR="00957609">
        <w:t>language,</w:t>
      </w:r>
      <w:r w:rsidRPr="00532434">
        <w:t xml:space="preserve"> we offer translations of correspondence on request</w:t>
      </w:r>
      <w:r w:rsidRPr="00532434" w:rsidR="00293182">
        <w:t xml:space="preserve">. </w:t>
      </w:r>
    </w:p>
    <w:p w:rsidRPr="00532434" w:rsidR="00251FC6" w:rsidP="007D3F92" w:rsidRDefault="007D3F92" w14:paraId="60DA0C2F" w14:textId="4B1FEB48">
      <w:pPr>
        <w:pStyle w:val="Default"/>
        <w:widowControl/>
        <w:numPr>
          <w:ilvl w:val="2"/>
          <w:numId w:val="25"/>
        </w:numPr>
        <w:spacing w:after="200"/>
        <w:jc w:val="both"/>
      </w:pPr>
      <w:r w:rsidRPr="00532434">
        <w:t xml:space="preserve">This Enforcement Policy is published via the </w:t>
      </w:r>
      <w:r w:rsidRPr="00532434" w:rsidR="00CC2F15">
        <w:t xml:space="preserve">Suffolk </w:t>
      </w:r>
      <w:r w:rsidRPr="00532434">
        <w:t>County Council website</w:t>
      </w:r>
      <w:r w:rsidRPr="00532434" w:rsidR="00234DF6">
        <w:t xml:space="preserve"> </w:t>
      </w:r>
      <w:r w:rsidRPr="00532434">
        <w:t xml:space="preserve">and we may </w:t>
      </w:r>
      <w:r w:rsidRPr="00532434" w:rsidR="003A23DE">
        <w:t xml:space="preserve">also </w:t>
      </w:r>
      <w:r w:rsidRPr="00532434">
        <w:t>publish further guidance about specific</w:t>
      </w:r>
      <w:r w:rsidRPr="00532434" w:rsidR="003A23DE">
        <w:t>/technical</w:t>
      </w:r>
      <w:r w:rsidRPr="00532434">
        <w:t xml:space="preserve"> areas, such as the use of civil sanctions. </w:t>
      </w:r>
    </w:p>
    <w:p w:rsidRPr="00532434" w:rsidR="007D3F92" w:rsidP="007D3F92" w:rsidRDefault="006C2E83" w14:paraId="28124BDB" w14:textId="0CB55B71">
      <w:pPr>
        <w:pStyle w:val="Default"/>
        <w:widowControl/>
        <w:numPr>
          <w:ilvl w:val="2"/>
          <w:numId w:val="25"/>
        </w:numPr>
        <w:spacing w:after="200"/>
        <w:jc w:val="both"/>
      </w:pPr>
      <w:r>
        <w:t xml:space="preserve">The publicity generated by </w:t>
      </w:r>
      <w:r w:rsidR="002C7794">
        <w:t xml:space="preserve">legal </w:t>
      </w:r>
      <w:r w:rsidR="392C7FEB">
        <w:t xml:space="preserve">and other enforcement </w:t>
      </w:r>
      <w:r w:rsidR="002C7794">
        <w:t>proceedings</w:t>
      </w:r>
      <w:r>
        <w:t xml:space="preserve"> acts as a deterrent to </w:t>
      </w:r>
      <w:r w:rsidR="00957609">
        <w:t>others and</w:t>
      </w:r>
      <w:r>
        <w:t xml:space="preserve"> reassures the general public that we take a </w:t>
      </w:r>
      <w:r>
        <w:lastRenderedPageBreak/>
        <w:t>serious view of illegal</w:t>
      </w:r>
      <w:r w:rsidRPr="2D1CDE2C">
        <w:rPr>
          <w:rFonts w:eastAsia="Arial"/>
          <w:color w:val="auto"/>
        </w:rPr>
        <w:t xml:space="preserve"> behaviour. </w:t>
      </w:r>
      <w:r w:rsidRPr="2D1CDE2C" w:rsidR="00251FC6">
        <w:rPr>
          <w:rFonts w:eastAsia="Arial"/>
          <w:color w:val="auto"/>
        </w:rPr>
        <w:t xml:space="preserve">We </w:t>
      </w:r>
      <w:r w:rsidRPr="2D1CDE2C">
        <w:rPr>
          <w:rFonts w:eastAsia="Arial"/>
          <w:color w:val="auto"/>
        </w:rPr>
        <w:t>therefore</w:t>
      </w:r>
      <w:r w:rsidRPr="2D1CDE2C" w:rsidR="38D6697A">
        <w:rPr>
          <w:rFonts w:eastAsia="Arial"/>
          <w:color w:val="auto"/>
        </w:rPr>
        <w:t xml:space="preserve"> routinely</w:t>
      </w:r>
      <w:r w:rsidRPr="2D1CDE2C">
        <w:rPr>
          <w:rFonts w:eastAsia="Arial"/>
          <w:color w:val="auto"/>
        </w:rPr>
        <w:t xml:space="preserve"> </w:t>
      </w:r>
      <w:r w:rsidRPr="2D1CDE2C" w:rsidR="00251FC6">
        <w:rPr>
          <w:rFonts w:eastAsia="Arial"/>
          <w:color w:val="auto"/>
        </w:rPr>
        <w:t>publish</w:t>
      </w:r>
      <w:r w:rsidRPr="2D1CDE2C" w:rsidR="6F32AA4C">
        <w:rPr>
          <w:rFonts w:eastAsia="Arial"/>
          <w:color w:val="auto"/>
        </w:rPr>
        <w:t xml:space="preserve"> information on </w:t>
      </w:r>
      <w:r w:rsidRPr="2D1CDE2C" w:rsidR="007D3F92">
        <w:rPr>
          <w:rFonts w:eastAsia="Arial"/>
          <w:color w:val="auto"/>
        </w:rPr>
        <w:t>court proceedings</w:t>
      </w:r>
      <w:r w:rsidRPr="2D1CDE2C" w:rsidR="74D1334E">
        <w:rPr>
          <w:rFonts w:eastAsia="Arial"/>
          <w:color w:val="auto"/>
        </w:rPr>
        <w:t xml:space="preserve"> and other enforcement actions such as</w:t>
      </w:r>
      <w:r w:rsidRPr="2D1CDE2C" w:rsidR="4336A380">
        <w:rPr>
          <w:rFonts w:eastAsia="Arial"/>
          <w:color w:val="auto"/>
        </w:rPr>
        <w:t xml:space="preserve"> </w:t>
      </w:r>
      <w:r w:rsidRPr="2D1CDE2C" w:rsidR="007D3F92">
        <w:rPr>
          <w:rFonts w:eastAsia="Arial"/>
          <w:color w:val="auto"/>
        </w:rPr>
        <w:t>undertakings</w:t>
      </w:r>
      <w:r w:rsidRPr="2D1CDE2C" w:rsidR="2B6A9CBC">
        <w:rPr>
          <w:rFonts w:eastAsia="Arial"/>
          <w:color w:val="auto"/>
        </w:rPr>
        <w:t>,</w:t>
      </w:r>
      <w:r w:rsidRPr="2D1CDE2C" w:rsidR="4E368CE9">
        <w:rPr>
          <w:rFonts w:eastAsia="Arial"/>
          <w:color w:val="auto"/>
        </w:rPr>
        <w:t xml:space="preserve"> enforcement orders, and the administrative issue of penalties/fines</w:t>
      </w:r>
      <w:r w:rsidRPr="2D1CDE2C" w:rsidR="002C7794">
        <w:rPr>
          <w:rFonts w:eastAsia="Arial"/>
          <w:color w:val="auto"/>
        </w:rPr>
        <w:t xml:space="preserve">; </w:t>
      </w:r>
      <w:r w:rsidRPr="2D1CDE2C">
        <w:rPr>
          <w:rFonts w:eastAsia="Arial"/>
          <w:color w:val="auto"/>
        </w:rPr>
        <w:t>a</w:t>
      </w:r>
      <w:r w:rsidRPr="2D1CDE2C" w:rsidR="00251FC6">
        <w:rPr>
          <w:rFonts w:eastAsia="Arial"/>
          <w:color w:val="auto"/>
        </w:rPr>
        <w:t>s part of this we include</w:t>
      </w:r>
      <w:r w:rsidRPr="2D1CDE2C" w:rsidR="3969A886">
        <w:rPr>
          <w:rFonts w:eastAsia="Arial"/>
          <w:color w:val="auto"/>
        </w:rPr>
        <w:t xml:space="preserve"> </w:t>
      </w:r>
      <w:r w:rsidRPr="2D1CDE2C" w:rsidR="00251FC6">
        <w:rPr>
          <w:rFonts w:eastAsia="Arial"/>
          <w:color w:val="auto"/>
        </w:rPr>
        <w:t>name</w:t>
      </w:r>
      <w:r w:rsidRPr="2D1CDE2C" w:rsidR="72BB666A">
        <w:rPr>
          <w:rFonts w:eastAsia="Arial"/>
          <w:color w:val="auto"/>
        </w:rPr>
        <w:t>s and trading addresses, unless</w:t>
      </w:r>
      <w:r w:rsidRPr="2D1CDE2C">
        <w:rPr>
          <w:rFonts w:eastAsia="Arial"/>
          <w:color w:val="auto"/>
        </w:rPr>
        <w:t xml:space="preserve"> directed not to do so by the Courts. </w:t>
      </w:r>
      <w:r w:rsidR="00251FC6">
        <w:t xml:space="preserve"> </w:t>
      </w:r>
    </w:p>
    <w:p w:rsidRPr="00532434" w:rsidR="000A3237" w:rsidP="007D3F92" w:rsidRDefault="00F10343" w14:paraId="2AD4AAA4" w14:textId="77777777">
      <w:pPr>
        <w:pStyle w:val="Default"/>
        <w:widowControl/>
        <w:numPr>
          <w:ilvl w:val="2"/>
          <w:numId w:val="25"/>
        </w:numPr>
        <w:spacing w:after="200"/>
        <w:jc w:val="both"/>
      </w:pPr>
      <w:r>
        <w:t xml:space="preserve">We may also publish the names and trading addresses of traders who act in ways that represent </w:t>
      </w:r>
      <w:r w:rsidR="0021036E">
        <w:t xml:space="preserve">a </w:t>
      </w:r>
      <w:r>
        <w:t xml:space="preserve">significant risk to consumers or the interests of legitimate businesses, subject to the following conditions: </w:t>
      </w:r>
    </w:p>
    <w:p w:rsidRPr="00532434" w:rsidR="00234DF6" w:rsidP="004148C2" w:rsidRDefault="00234DF6" w14:paraId="3BA30DC6" w14:textId="77777777">
      <w:pPr>
        <w:numPr>
          <w:ilvl w:val="0"/>
          <w:numId w:val="2"/>
        </w:numPr>
        <w:jc w:val="both"/>
        <w:rPr>
          <w:rFonts w:cs="Arial"/>
          <w:color w:val="000000"/>
          <w:sz w:val="24"/>
          <w:szCs w:val="24"/>
        </w:rPr>
      </w:pPr>
      <w:r w:rsidRPr="00532434">
        <w:rPr>
          <w:rFonts w:cs="Arial"/>
          <w:color w:val="000000"/>
          <w:sz w:val="24"/>
          <w:szCs w:val="24"/>
        </w:rPr>
        <w:t xml:space="preserve">There is no risk of </w:t>
      </w:r>
      <w:r w:rsidRPr="00532434" w:rsidR="005B48D6">
        <w:rPr>
          <w:rFonts w:cs="Arial"/>
          <w:color w:val="000000"/>
          <w:sz w:val="24"/>
          <w:szCs w:val="24"/>
        </w:rPr>
        <w:t>prejudice to</w:t>
      </w:r>
      <w:r w:rsidRPr="00532434">
        <w:rPr>
          <w:rFonts w:cs="Arial"/>
          <w:color w:val="000000"/>
          <w:sz w:val="24"/>
          <w:szCs w:val="24"/>
        </w:rPr>
        <w:t xml:space="preserve"> legal proceedings or other formal enforcement action</w:t>
      </w:r>
      <w:r w:rsidRPr="00532434" w:rsidR="00EA151D">
        <w:rPr>
          <w:rFonts w:cs="Arial"/>
          <w:color w:val="000000"/>
          <w:sz w:val="24"/>
          <w:szCs w:val="24"/>
        </w:rPr>
        <w:t>,</w:t>
      </w:r>
      <w:r w:rsidRPr="00532434" w:rsidR="00B9501D">
        <w:rPr>
          <w:rFonts w:cs="Arial"/>
          <w:color w:val="000000"/>
          <w:sz w:val="24"/>
          <w:szCs w:val="24"/>
        </w:rPr>
        <w:t xml:space="preserve"> and</w:t>
      </w:r>
    </w:p>
    <w:p w:rsidRPr="00532434" w:rsidR="00234DF6" w:rsidP="004148C2" w:rsidRDefault="00234DF6" w14:paraId="7954479B" w14:textId="77777777">
      <w:pPr>
        <w:numPr>
          <w:ilvl w:val="0"/>
          <w:numId w:val="2"/>
        </w:numPr>
        <w:jc w:val="both"/>
        <w:rPr>
          <w:rFonts w:cs="Arial"/>
          <w:color w:val="000000"/>
          <w:sz w:val="24"/>
          <w:szCs w:val="24"/>
        </w:rPr>
      </w:pPr>
      <w:r w:rsidRPr="00532434">
        <w:rPr>
          <w:rFonts w:cs="Arial"/>
          <w:color w:val="000000"/>
          <w:sz w:val="24"/>
          <w:szCs w:val="24"/>
        </w:rPr>
        <w:t>The evidence of unfair or illegal trading is conclusive</w:t>
      </w:r>
      <w:r w:rsidRPr="00532434" w:rsidR="00EA151D">
        <w:rPr>
          <w:rFonts w:cs="Arial"/>
          <w:color w:val="000000"/>
          <w:sz w:val="24"/>
          <w:szCs w:val="24"/>
        </w:rPr>
        <w:t>,</w:t>
      </w:r>
      <w:r w:rsidRPr="00532434" w:rsidR="00B9501D">
        <w:rPr>
          <w:rFonts w:cs="Arial"/>
          <w:color w:val="000000"/>
          <w:sz w:val="24"/>
          <w:szCs w:val="24"/>
        </w:rPr>
        <w:t xml:space="preserve"> and</w:t>
      </w:r>
    </w:p>
    <w:p w:rsidRPr="00532434" w:rsidR="000A3237" w:rsidP="004148C2" w:rsidRDefault="00234DF6" w14:paraId="314C0DFB" w14:textId="77777777">
      <w:pPr>
        <w:numPr>
          <w:ilvl w:val="0"/>
          <w:numId w:val="2"/>
        </w:numPr>
        <w:jc w:val="both"/>
        <w:rPr>
          <w:rFonts w:cs="Arial"/>
          <w:color w:val="000000"/>
          <w:sz w:val="24"/>
          <w:szCs w:val="24"/>
        </w:rPr>
      </w:pPr>
      <w:r w:rsidRPr="00532434">
        <w:rPr>
          <w:rFonts w:cs="Arial"/>
          <w:color w:val="000000"/>
          <w:sz w:val="24"/>
          <w:szCs w:val="24"/>
        </w:rPr>
        <w:t>It is in the public interest to do so, taking into account the personal circumstances of the offender and community cohesion</w:t>
      </w:r>
      <w:r w:rsidRPr="00532434" w:rsidR="00EA151D">
        <w:rPr>
          <w:rFonts w:cs="Arial"/>
          <w:color w:val="000000"/>
          <w:sz w:val="24"/>
          <w:szCs w:val="24"/>
        </w:rPr>
        <w:t>,</w:t>
      </w:r>
      <w:r w:rsidRPr="00532434" w:rsidR="00B9501D">
        <w:rPr>
          <w:rFonts w:cs="Arial"/>
          <w:color w:val="000000"/>
          <w:sz w:val="24"/>
          <w:szCs w:val="24"/>
        </w:rPr>
        <w:t xml:space="preserve"> and</w:t>
      </w:r>
    </w:p>
    <w:p w:rsidR="00234DF6" w:rsidP="004148C2" w:rsidRDefault="00234DF6" w14:paraId="4DC115A6" w14:textId="341CBF95">
      <w:pPr>
        <w:numPr>
          <w:ilvl w:val="0"/>
          <w:numId w:val="2"/>
        </w:numPr>
        <w:jc w:val="both"/>
        <w:rPr>
          <w:rFonts w:cs="Arial"/>
          <w:color w:val="000000"/>
          <w:sz w:val="24"/>
          <w:szCs w:val="24"/>
        </w:rPr>
      </w:pPr>
      <w:r w:rsidRPr="00532434">
        <w:rPr>
          <w:rFonts w:cs="Arial"/>
          <w:color w:val="000000"/>
          <w:sz w:val="24"/>
          <w:szCs w:val="24"/>
        </w:rPr>
        <w:t>To do so does not breach Human Rights or Data Protection Law, or the Children and Young Persons Act 1933</w:t>
      </w:r>
      <w:r w:rsidRPr="00532434" w:rsidR="00EA151D">
        <w:rPr>
          <w:rFonts w:cs="Arial"/>
          <w:color w:val="000000"/>
          <w:sz w:val="24"/>
          <w:szCs w:val="24"/>
        </w:rPr>
        <w:t>.</w:t>
      </w:r>
    </w:p>
    <w:p w:rsidR="00060606" w:rsidP="00060606" w:rsidRDefault="00060606" w14:paraId="4DEE8D98" w14:textId="61F1DEBA">
      <w:pPr>
        <w:jc w:val="both"/>
        <w:rPr>
          <w:rFonts w:cs="Arial"/>
          <w:color w:val="000000"/>
          <w:sz w:val="24"/>
          <w:szCs w:val="24"/>
        </w:rPr>
      </w:pPr>
    </w:p>
    <w:p w:rsidRPr="004B44B4" w:rsidR="004B44B4" w:rsidP="004B44B4" w:rsidRDefault="004B44B4" w14:paraId="06B99E58" w14:textId="2456E1DC">
      <w:pPr>
        <w:ind w:left="709" w:hanging="709"/>
        <w:jc w:val="both"/>
        <w:rPr>
          <w:rFonts w:cs="Arial"/>
          <w:color w:val="000000"/>
          <w:sz w:val="24"/>
          <w:szCs w:val="24"/>
        </w:rPr>
      </w:pPr>
      <w:r w:rsidRPr="2D1CDE2C">
        <w:rPr>
          <w:rFonts w:cs="Arial"/>
          <w:color w:val="000000" w:themeColor="text1"/>
          <w:sz w:val="24"/>
          <w:szCs w:val="24"/>
        </w:rPr>
        <w:t>2.4.</w:t>
      </w:r>
      <w:r w:rsidRPr="2D1CDE2C" w:rsidR="37FA654C">
        <w:rPr>
          <w:rFonts w:cs="Arial"/>
          <w:color w:val="000000" w:themeColor="text1"/>
          <w:sz w:val="24"/>
          <w:szCs w:val="24"/>
        </w:rPr>
        <w:t>7</w:t>
      </w:r>
      <w:r>
        <w:tab/>
      </w:r>
      <w:r w:rsidRPr="2D1CDE2C">
        <w:rPr>
          <w:rFonts w:cs="Arial"/>
          <w:color w:val="000000" w:themeColor="text1"/>
          <w:sz w:val="24"/>
          <w:szCs w:val="24"/>
        </w:rPr>
        <w:t xml:space="preserve">We obtain and process information in the course of our enforcement functions. Some of this information is personal data, and some of it is </w:t>
      </w:r>
    </w:p>
    <w:p w:rsidRPr="004B44B4" w:rsidR="000A3237" w:rsidP="2D1CDE2C" w:rsidRDefault="004B44B4" w14:paraId="4496A9E6" w14:textId="14BA02E9">
      <w:pPr>
        <w:ind w:firstLine="709"/>
        <w:jc w:val="both"/>
        <w:rPr>
          <w:rFonts w:cs="Arial"/>
          <w:color w:val="000000" w:themeColor="text1"/>
          <w:sz w:val="24"/>
          <w:szCs w:val="24"/>
        </w:rPr>
      </w:pPr>
      <w:r w:rsidRPr="2D1CDE2C">
        <w:rPr>
          <w:rFonts w:cs="Arial"/>
          <w:color w:val="000000" w:themeColor="text1"/>
          <w:sz w:val="24"/>
          <w:szCs w:val="24"/>
        </w:rPr>
        <w:t>confidential or sensitive. We will process information in accordance</w:t>
      </w:r>
      <w:r w:rsidRPr="2D1CDE2C" w:rsidR="5EAECD57">
        <w:rPr>
          <w:rFonts w:cs="Arial"/>
          <w:color w:val="000000" w:themeColor="text1"/>
          <w:sz w:val="24"/>
          <w:szCs w:val="24"/>
        </w:rPr>
        <w:t xml:space="preserve"> </w:t>
      </w:r>
      <w:r>
        <w:tab/>
      </w:r>
      <w:r w:rsidRPr="2D1CDE2C">
        <w:rPr>
          <w:rFonts w:cs="Arial"/>
          <w:color w:val="000000" w:themeColor="text1"/>
          <w:sz w:val="24"/>
          <w:szCs w:val="24"/>
        </w:rPr>
        <w:t xml:space="preserve">with the law (including the Data Protection Act 2018 and the Enterprise Act </w:t>
      </w:r>
      <w:r w:rsidRPr="004B44B4">
        <w:rPr>
          <w:rFonts w:cs="Arial"/>
          <w:color w:val="000000"/>
          <w:sz w:val="24"/>
          <w:szCs w:val="24"/>
        </w:rPr>
        <w:t>2002) and with proper regard to our privacy notices.</w:t>
      </w:r>
    </w:p>
    <w:p w:rsidRPr="004B44B4" w:rsidR="000A3237" w:rsidP="004B44B4" w:rsidRDefault="004B44B4" w14:paraId="1C7B9459" w14:textId="5A828D7C">
      <w:pPr>
        <w:ind w:firstLine="709"/>
        <w:jc w:val="both"/>
        <w:rPr>
          <w:rFonts w:cs="Arial"/>
          <w:color w:val="000000"/>
          <w:sz w:val="24"/>
          <w:szCs w:val="24"/>
        </w:rPr>
      </w:pPr>
      <w:r w:rsidRPr="004B44B4">
        <w:rPr>
          <w:rFonts w:cs="Arial"/>
          <w:color w:val="000000"/>
          <w:sz w:val="24"/>
          <w:szCs w:val="24"/>
        </w:rPr>
        <w:t xml:space="preserve"> </w:t>
      </w:r>
      <w:r w:rsidRPr="004B44B4">
        <w:rPr>
          <w:rFonts w:cs="Arial"/>
          <w:color w:val="000000"/>
          <w:sz w:val="24"/>
          <w:szCs w:val="24"/>
        </w:rPr>
        <w:cr/>
      </w:r>
    </w:p>
    <w:p w:rsidRPr="00532434" w:rsidR="0017646D" w:rsidP="00E74487" w:rsidRDefault="0017646D" w14:paraId="4BF6CBB6" w14:textId="77777777">
      <w:pPr>
        <w:numPr>
          <w:ilvl w:val="1"/>
          <w:numId w:val="25"/>
        </w:numPr>
        <w:rPr>
          <w:rFonts w:cs="Arial"/>
          <w:b/>
          <w:color w:val="000000"/>
          <w:sz w:val="24"/>
          <w:szCs w:val="24"/>
        </w:rPr>
      </w:pPr>
      <w:r w:rsidRPr="00532434">
        <w:rPr>
          <w:rFonts w:cs="Arial"/>
          <w:b/>
          <w:color w:val="000000"/>
          <w:sz w:val="24"/>
          <w:szCs w:val="24"/>
        </w:rPr>
        <w:t>Targeted (Intell</w:t>
      </w:r>
      <w:r w:rsidRPr="00532434" w:rsidR="003A0551">
        <w:rPr>
          <w:rFonts w:cs="Arial"/>
          <w:b/>
          <w:color w:val="000000"/>
          <w:sz w:val="24"/>
          <w:szCs w:val="24"/>
        </w:rPr>
        <w:t>igence and Risk Led) Enforcement</w:t>
      </w:r>
    </w:p>
    <w:p w:rsidRPr="00532434" w:rsidR="00E74487" w:rsidP="00E74487" w:rsidRDefault="00E74487" w14:paraId="55F1D37E" w14:textId="77777777">
      <w:pPr>
        <w:rPr>
          <w:rFonts w:cs="Arial"/>
          <w:color w:val="000000"/>
          <w:sz w:val="24"/>
          <w:szCs w:val="24"/>
        </w:rPr>
      </w:pPr>
    </w:p>
    <w:p w:rsidRPr="00532434" w:rsidR="00E74487" w:rsidP="00E74487" w:rsidRDefault="00217EA8" w14:paraId="394B6277" w14:textId="4CBCD1AA">
      <w:pPr>
        <w:pStyle w:val="Default"/>
        <w:widowControl/>
        <w:numPr>
          <w:ilvl w:val="2"/>
          <w:numId w:val="25"/>
        </w:numPr>
        <w:spacing w:after="200"/>
        <w:jc w:val="both"/>
      </w:pPr>
      <w:r w:rsidRPr="00532434">
        <w:t>Enforcement</w:t>
      </w:r>
      <w:r w:rsidRPr="00532434" w:rsidR="0017646D">
        <w:t xml:space="preserve"> will be primarily tar</w:t>
      </w:r>
      <w:r w:rsidRPr="00532434" w:rsidR="009C47E4">
        <w:t>geted towards those situations t</w:t>
      </w:r>
      <w:r w:rsidRPr="00532434" w:rsidR="0017646D">
        <w:t>hat give rise to the most serious risks</w:t>
      </w:r>
      <w:r w:rsidRPr="00532434">
        <w:t>, and</w:t>
      </w:r>
      <w:r w:rsidRPr="00532434" w:rsidR="0017646D">
        <w:t xml:space="preserve"> against deliberate</w:t>
      </w:r>
      <w:r w:rsidRPr="00532434" w:rsidR="00244325">
        <w:t>/o</w:t>
      </w:r>
      <w:r w:rsidRPr="00532434" w:rsidR="005A1BF5">
        <w:t xml:space="preserve">rganised crime. </w:t>
      </w:r>
      <w:r w:rsidRPr="00532434" w:rsidR="0017646D">
        <w:t xml:space="preserve">Other </w:t>
      </w:r>
      <w:r w:rsidRPr="00532434" w:rsidR="00D13F93">
        <w:t xml:space="preserve">determining </w:t>
      </w:r>
      <w:r w:rsidRPr="00532434" w:rsidR="0017646D">
        <w:t xml:space="preserve">factors </w:t>
      </w:r>
      <w:r w:rsidRPr="00532434" w:rsidR="00244325">
        <w:t xml:space="preserve">will </w:t>
      </w:r>
      <w:r w:rsidRPr="00532434" w:rsidR="00D13F93">
        <w:t xml:space="preserve">include </w:t>
      </w:r>
      <w:r w:rsidRPr="00532434" w:rsidR="00A064AA">
        <w:t>local</w:t>
      </w:r>
      <w:r w:rsidRPr="00532434" w:rsidR="00244325">
        <w:t xml:space="preserve"> </w:t>
      </w:r>
      <w:r w:rsidRPr="00532434" w:rsidR="0017646D">
        <w:t xml:space="preserve">priorities, Government targets and priorities, new legislation, national </w:t>
      </w:r>
      <w:r w:rsidRPr="00532434" w:rsidR="00957609">
        <w:t>campaigns,</w:t>
      </w:r>
      <w:r w:rsidRPr="00532434" w:rsidR="0017646D">
        <w:t xml:space="preserve"> an</w:t>
      </w:r>
      <w:r w:rsidRPr="00532434" w:rsidR="005A1BF5">
        <w:t>d public concerns.</w:t>
      </w:r>
    </w:p>
    <w:p w:rsidRPr="00532434" w:rsidR="000A3237" w:rsidP="00E74487" w:rsidRDefault="0017646D" w14:paraId="1C0D32F8" w14:textId="3D4E067F">
      <w:pPr>
        <w:pStyle w:val="Default"/>
        <w:widowControl/>
        <w:numPr>
          <w:ilvl w:val="2"/>
          <w:numId w:val="25"/>
        </w:numPr>
        <w:spacing w:after="200"/>
        <w:jc w:val="both"/>
      </w:pPr>
      <w:r w:rsidRPr="00532434">
        <w:t xml:space="preserve">By having a coherent and </w:t>
      </w:r>
      <w:r w:rsidRPr="00532434" w:rsidR="00957609">
        <w:t>risk-based</w:t>
      </w:r>
      <w:r w:rsidRPr="00532434" w:rsidR="004C2448">
        <w:t xml:space="preserve"> </w:t>
      </w:r>
      <w:r w:rsidRPr="00532434">
        <w:t xml:space="preserve">intelligence system, effective strategies </w:t>
      </w:r>
      <w:r w:rsidRPr="00532434" w:rsidR="004C2448">
        <w:t xml:space="preserve">can </w:t>
      </w:r>
      <w:r w:rsidRPr="00532434">
        <w:t xml:space="preserve">be formed to enable and co-ordinate solutions to particular problems. This enables the identification of new, </w:t>
      </w:r>
      <w:r w:rsidRPr="00532434" w:rsidR="00957609">
        <w:t>current,</w:t>
      </w:r>
      <w:r w:rsidRPr="00532434">
        <w:t xml:space="preserve"> and emerging issues, allowing provision of strategic and tactical direction on how </w:t>
      </w:r>
      <w:r w:rsidRPr="00532434" w:rsidR="005A1BF5">
        <w:t>the issues can best be tackled.</w:t>
      </w:r>
      <w:r w:rsidRPr="00532434" w:rsidR="00A952F6">
        <w:rPr>
          <w:color w:val="FF0000"/>
        </w:rPr>
        <w:t xml:space="preserve"> </w:t>
      </w:r>
      <w:r w:rsidRPr="00532434" w:rsidR="00B26052">
        <w:t xml:space="preserve">Subject </w:t>
      </w:r>
      <w:r w:rsidRPr="00532434" w:rsidR="008F4F47">
        <w:t xml:space="preserve">to the provisions of Data Protection and Human Rights Law, </w:t>
      </w:r>
      <w:r w:rsidRPr="00532434" w:rsidR="008A0453">
        <w:t>we may</w:t>
      </w:r>
      <w:r w:rsidRPr="00532434" w:rsidR="008F4F47">
        <w:t xml:space="preserve"> </w:t>
      </w:r>
      <w:r w:rsidRPr="00532434" w:rsidR="008A0453">
        <w:t>also refer cases and/or share</w:t>
      </w:r>
      <w:r w:rsidRPr="00532434" w:rsidR="00D86794">
        <w:t xml:space="preserve"> information and</w:t>
      </w:r>
      <w:r w:rsidRPr="00532434" w:rsidR="008A0453">
        <w:t xml:space="preserve"> intelligence with </w:t>
      </w:r>
      <w:r w:rsidRPr="00532434" w:rsidR="008F4F47">
        <w:t xml:space="preserve">other law enforcement agencies. </w:t>
      </w:r>
    </w:p>
    <w:p w:rsidRPr="00532434" w:rsidR="00E74487" w:rsidP="00E74487" w:rsidRDefault="009C47E4" w14:paraId="41690F5D" w14:textId="77777777">
      <w:pPr>
        <w:numPr>
          <w:ilvl w:val="1"/>
          <w:numId w:val="25"/>
        </w:numPr>
        <w:autoSpaceDE w:val="0"/>
        <w:autoSpaceDN w:val="0"/>
        <w:adjustRightInd w:val="0"/>
        <w:rPr>
          <w:rFonts w:cs="Arial"/>
          <w:b/>
          <w:bCs/>
          <w:sz w:val="24"/>
          <w:szCs w:val="24"/>
        </w:rPr>
      </w:pPr>
      <w:r w:rsidRPr="00532434">
        <w:rPr>
          <w:rFonts w:cs="Arial"/>
          <w:b/>
          <w:bCs/>
          <w:sz w:val="24"/>
          <w:szCs w:val="24"/>
        </w:rPr>
        <w:t>Supporting the local economy</w:t>
      </w:r>
    </w:p>
    <w:p w:rsidRPr="00532434" w:rsidR="00E74487" w:rsidP="00E74487" w:rsidRDefault="00E74487" w14:paraId="767F3042" w14:textId="77777777">
      <w:pPr>
        <w:autoSpaceDE w:val="0"/>
        <w:autoSpaceDN w:val="0"/>
        <w:adjustRightInd w:val="0"/>
        <w:rPr>
          <w:rFonts w:cs="Arial"/>
          <w:bCs/>
          <w:sz w:val="24"/>
          <w:szCs w:val="24"/>
        </w:rPr>
      </w:pPr>
    </w:p>
    <w:p w:rsidRPr="00532434" w:rsidR="009C47E4" w:rsidP="00E74487" w:rsidRDefault="00E74487" w14:paraId="086B4D24" w14:textId="77777777">
      <w:pPr>
        <w:pStyle w:val="Default"/>
        <w:widowControl/>
        <w:numPr>
          <w:ilvl w:val="2"/>
          <w:numId w:val="25"/>
        </w:numPr>
        <w:spacing w:after="200"/>
        <w:jc w:val="both"/>
      </w:pPr>
      <w:r w:rsidRPr="00532434">
        <w:t>We rec</w:t>
      </w:r>
      <w:r w:rsidRPr="00532434" w:rsidR="009C47E4">
        <w:t>ognise that a key element of our activity will be to facilitate and</w:t>
      </w:r>
      <w:r w:rsidRPr="00532434">
        <w:t xml:space="preserve"> </w:t>
      </w:r>
      <w:r w:rsidRPr="00532434" w:rsidR="009C47E4">
        <w:t>encourage economic progress aga</w:t>
      </w:r>
      <w:r w:rsidRPr="00532434">
        <w:t>inst a background of protection.</w:t>
      </w:r>
    </w:p>
    <w:p w:rsidRPr="00532434" w:rsidR="009C47E4" w:rsidP="00E74487" w:rsidRDefault="009C47E4" w14:paraId="177B069E" w14:textId="77777777">
      <w:pPr>
        <w:pStyle w:val="Default"/>
        <w:widowControl/>
        <w:numPr>
          <w:ilvl w:val="2"/>
          <w:numId w:val="25"/>
        </w:numPr>
        <w:spacing w:after="200"/>
        <w:jc w:val="both"/>
      </w:pPr>
      <w:r w:rsidRPr="00532434">
        <w:t>Wherever possible, we will work in partnership with businesses</w:t>
      </w:r>
      <w:r w:rsidRPr="00532434" w:rsidR="001D5B2F">
        <w:t xml:space="preserve"> and individuals, </w:t>
      </w:r>
      <w:r w:rsidRPr="00532434">
        <w:t xml:space="preserve">and with </w:t>
      </w:r>
      <w:r w:rsidRPr="00532434" w:rsidR="001D5B2F">
        <w:t xml:space="preserve">parish councils, voluntary and </w:t>
      </w:r>
      <w:r w:rsidRPr="00532434">
        <w:t>community organisations, to assist them with</w:t>
      </w:r>
      <w:r w:rsidRPr="00532434" w:rsidR="00E74487">
        <w:t xml:space="preserve"> </w:t>
      </w:r>
      <w:r w:rsidRPr="00532434">
        <w:t>meeting their legal obligations without unnecessary expense.</w:t>
      </w:r>
    </w:p>
    <w:p w:rsidRPr="00532434" w:rsidR="009C47E4" w:rsidP="00E74487" w:rsidRDefault="009C47E4" w14:paraId="65B99923" w14:textId="77777777">
      <w:pPr>
        <w:numPr>
          <w:ilvl w:val="1"/>
          <w:numId w:val="25"/>
        </w:numPr>
        <w:autoSpaceDE w:val="0"/>
        <w:autoSpaceDN w:val="0"/>
        <w:adjustRightInd w:val="0"/>
        <w:rPr>
          <w:rFonts w:cs="Arial"/>
          <w:b/>
          <w:bCs/>
          <w:sz w:val="24"/>
          <w:szCs w:val="24"/>
        </w:rPr>
      </w:pPr>
      <w:r w:rsidRPr="00532434">
        <w:rPr>
          <w:rFonts w:cs="Arial"/>
          <w:b/>
          <w:bCs/>
          <w:sz w:val="24"/>
          <w:szCs w:val="24"/>
        </w:rPr>
        <w:t>Reducing enforcement burdens</w:t>
      </w:r>
    </w:p>
    <w:p w:rsidRPr="00532434" w:rsidR="00E74487" w:rsidP="00E74487" w:rsidRDefault="00E74487" w14:paraId="1C34C755" w14:textId="77777777">
      <w:pPr>
        <w:autoSpaceDE w:val="0"/>
        <w:autoSpaceDN w:val="0"/>
        <w:adjustRightInd w:val="0"/>
        <w:rPr>
          <w:rFonts w:cs="Arial"/>
          <w:b/>
          <w:bCs/>
          <w:sz w:val="24"/>
          <w:szCs w:val="24"/>
        </w:rPr>
      </w:pPr>
    </w:p>
    <w:p w:rsidRPr="00532434" w:rsidR="00E74487" w:rsidP="00AC4894" w:rsidRDefault="009C47E4" w14:paraId="2FCFC5C5" w14:textId="755C1020">
      <w:pPr>
        <w:pStyle w:val="Default"/>
        <w:widowControl/>
        <w:numPr>
          <w:ilvl w:val="2"/>
          <w:numId w:val="25"/>
        </w:numPr>
        <w:spacing w:after="200"/>
        <w:jc w:val="both"/>
      </w:pPr>
      <w:r w:rsidRPr="00532434">
        <w:t xml:space="preserve">If there is a shared enforcement role with other agencies, </w:t>
      </w:r>
      <w:r w:rsidRPr="00532434" w:rsidR="002C3886">
        <w:t xml:space="preserve">e.g. the Police, Environment </w:t>
      </w:r>
      <w:r w:rsidRPr="00532434" w:rsidR="00957609">
        <w:t>Agency,</w:t>
      </w:r>
      <w:r w:rsidRPr="00532434" w:rsidR="002C3886">
        <w:t xml:space="preserve"> or other local authorities,</w:t>
      </w:r>
      <w:r w:rsidRPr="00532434">
        <w:t xml:space="preserve"> we will consider co-ordinating with these agencies to minimise</w:t>
      </w:r>
      <w:r w:rsidRPr="00532434" w:rsidR="0026240E">
        <w:t xml:space="preserve"> </w:t>
      </w:r>
      <w:r w:rsidRPr="00532434">
        <w:t xml:space="preserve">unnecessary overlaps or time </w:t>
      </w:r>
      <w:r w:rsidRPr="00532434">
        <w:lastRenderedPageBreak/>
        <w:t>delays and to maximise our overall effectiveness.</w:t>
      </w:r>
      <w:r w:rsidRPr="00532434" w:rsidR="000A3237">
        <w:t xml:space="preserve"> </w:t>
      </w:r>
      <w:r w:rsidRPr="00532434" w:rsidR="00F95C14">
        <w:t>We w</w:t>
      </w:r>
      <w:r w:rsidRPr="00532434" w:rsidR="00244325">
        <w:t>ill also liaise with the other</w:t>
      </w:r>
      <w:r w:rsidRPr="00532434" w:rsidR="00F95C14">
        <w:t xml:space="preserve"> regulators to ensure that any proceedings instituted are fo</w:t>
      </w:r>
      <w:r w:rsidRPr="00532434" w:rsidR="00880133">
        <w:t>r the most appropriate offence.</w:t>
      </w:r>
    </w:p>
    <w:p w:rsidRPr="00532434" w:rsidR="00B92BAE" w:rsidP="005E0F35" w:rsidRDefault="000A3237" w14:paraId="50E2F1C1" w14:textId="77777777">
      <w:pPr>
        <w:pStyle w:val="Default"/>
        <w:widowControl/>
        <w:numPr>
          <w:ilvl w:val="2"/>
          <w:numId w:val="25"/>
        </w:numPr>
        <w:spacing w:after="200"/>
        <w:jc w:val="both"/>
      </w:pPr>
      <w:r w:rsidRPr="00532434">
        <w:t>We will follow the principle of “collect once, use many times” and share information that we collect with other local authority regulatory services to minimise business impact.</w:t>
      </w:r>
      <w:r w:rsidRPr="00532434" w:rsidR="005E0F35">
        <w:t xml:space="preserve"> </w:t>
      </w:r>
    </w:p>
    <w:p w:rsidRPr="00532434" w:rsidR="00110803" w:rsidP="00110803" w:rsidRDefault="00B92BAE" w14:paraId="2D615520" w14:textId="77777777">
      <w:pPr>
        <w:pStyle w:val="Default"/>
        <w:widowControl/>
        <w:numPr>
          <w:ilvl w:val="2"/>
          <w:numId w:val="25"/>
        </w:numPr>
        <w:spacing w:after="200"/>
        <w:jc w:val="both"/>
      </w:pPr>
      <w:r w:rsidRPr="00532434">
        <w:t xml:space="preserve">When conducting farm visits, we will have due regard to the </w:t>
      </w:r>
      <w:hyperlink w:history="1" r:id="rId10">
        <w:r w:rsidRPr="00532434" w:rsidR="00B716C6">
          <w:rPr>
            <w:rStyle w:val="Hyperlink"/>
          </w:rPr>
          <w:t>Farm Regulators’ Charter</w:t>
        </w:r>
      </w:hyperlink>
      <w:r w:rsidRPr="00532434" w:rsidR="00B716C6">
        <w:t xml:space="preserve">, which makes sure </w:t>
      </w:r>
      <w:r w:rsidRPr="00532434" w:rsidR="00B716C6">
        <w:rPr>
          <w:color w:val="0B0C0C"/>
          <w:shd w:val="clear" w:color="auto" w:fill="FFFFFF"/>
        </w:rPr>
        <w:t>visits are carried out consistently across regulators. The charter covers all inspection types and visits of agricultural and aquaculture activities carried out by Farm Regulators.</w:t>
      </w:r>
      <w:r w:rsidRPr="00532434" w:rsidR="00B716C6">
        <w:rPr>
          <w:color w:val="0B0C0C"/>
          <w:sz w:val="29"/>
          <w:szCs w:val="29"/>
          <w:shd w:val="clear" w:color="auto" w:fill="FFFFFF"/>
        </w:rPr>
        <w:t xml:space="preserve"> </w:t>
      </w:r>
    </w:p>
    <w:p w:rsidRPr="00532434" w:rsidR="00EE1B40" w:rsidP="00BD2A8D" w:rsidRDefault="00531E92" w14:paraId="0A0B8891" w14:textId="1FB93FE4">
      <w:pPr>
        <w:pStyle w:val="Heading2"/>
        <w:numPr>
          <w:ilvl w:val="0"/>
          <w:numId w:val="25"/>
        </w:numPr>
        <w:rPr>
          <w:i w:val="0"/>
          <w:iCs w:val="0"/>
        </w:rPr>
      </w:pPr>
      <w:r w:rsidRPr="00532434">
        <w:rPr>
          <w:i w:val="0"/>
          <w:iCs w:val="0"/>
        </w:rPr>
        <w:t>Primary</w:t>
      </w:r>
      <w:r w:rsidRPr="00532434" w:rsidR="00C74909">
        <w:rPr>
          <w:i w:val="0"/>
          <w:iCs w:val="0"/>
        </w:rPr>
        <w:t xml:space="preserve"> </w:t>
      </w:r>
      <w:r w:rsidRPr="00532434">
        <w:rPr>
          <w:i w:val="0"/>
          <w:iCs w:val="0"/>
        </w:rPr>
        <w:t xml:space="preserve">Authority </w:t>
      </w:r>
      <w:r w:rsidRPr="00532434" w:rsidR="00B92BAE">
        <w:rPr>
          <w:i w:val="0"/>
          <w:iCs w:val="0"/>
        </w:rPr>
        <w:t>Partnerships</w:t>
      </w:r>
    </w:p>
    <w:p w:rsidRPr="00532434" w:rsidR="00B643A6" w:rsidP="00BD2A8D" w:rsidRDefault="00B643A6" w14:paraId="2781201A" w14:textId="77777777">
      <w:pPr>
        <w:pStyle w:val="ListParagraph"/>
        <w:rPr>
          <w:rFonts w:ascii="Arial" w:hAnsi="Arial" w:cs="Arial"/>
        </w:rPr>
      </w:pPr>
    </w:p>
    <w:p w:rsidRPr="00532434" w:rsidR="00624464" w:rsidP="00C74909" w:rsidRDefault="00EB3752" w14:paraId="7782D147" w14:textId="77777777">
      <w:pPr>
        <w:pStyle w:val="Default"/>
        <w:widowControl/>
        <w:numPr>
          <w:ilvl w:val="1"/>
          <w:numId w:val="25"/>
        </w:numPr>
        <w:spacing w:after="200"/>
        <w:jc w:val="both"/>
      </w:pPr>
      <w:r w:rsidRPr="00532434">
        <w:rPr>
          <w:rFonts w:eastAsia="Calibri"/>
        </w:rPr>
        <w:t>Primary Authority is a statutory scheme established by the Regulatory Enforcement and Sanctions Act 200</w:t>
      </w:r>
      <w:r w:rsidRPr="00532434" w:rsidR="00FA6A23">
        <w:rPr>
          <w:rFonts w:eastAsia="Calibri"/>
        </w:rPr>
        <w:t>8</w:t>
      </w:r>
      <w:r w:rsidRPr="00532434">
        <w:rPr>
          <w:rFonts w:eastAsia="Calibri"/>
        </w:rPr>
        <w:t>.  It allows an eligible business to form a legally recognised partnership with a single local authority in relation to the provision of tailored advice, guidance and assistance relating to regulatory compliance.  Th</w:t>
      </w:r>
      <w:r w:rsidRPr="00532434" w:rsidR="00943F24">
        <w:rPr>
          <w:rFonts w:eastAsia="Calibri"/>
        </w:rPr>
        <w:t>e single</w:t>
      </w:r>
      <w:r w:rsidRPr="00532434">
        <w:rPr>
          <w:rFonts w:eastAsia="Calibri"/>
        </w:rPr>
        <w:t xml:space="preserve"> </w:t>
      </w:r>
      <w:r w:rsidRPr="00532434" w:rsidR="00943F24">
        <w:rPr>
          <w:rFonts w:eastAsia="Calibri"/>
        </w:rPr>
        <w:t xml:space="preserve">local </w:t>
      </w:r>
      <w:r w:rsidRPr="00532434">
        <w:rPr>
          <w:rFonts w:eastAsia="Calibri"/>
        </w:rPr>
        <w:t xml:space="preserve">authority </w:t>
      </w:r>
      <w:r w:rsidRPr="00532434" w:rsidR="00943F24">
        <w:rPr>
          <w:rFonts w:eastAsia="Calibri"/>
        </w:rPr>
        <w:t>(</w:t>
      </w:r>
      <w:r w:rsidRPr="00532434">
        <w:rPr>
          <w:rFonts w:eastAsia="Calibri"/>
        </w:rPr>
        <w:t xml:space="preserve">known as the “Primary </w:t>
      </w:r>
      <w:r w:rsidRPr="00532434" w:rsidR="00943F24">
        <w:rPr>
          <w:rFonts w:eastAsia="Calibri"/>
        </w:rPr>
        <w:t xml:space="preserve">Authority’) is </w:t>
      </w:r>
      <w:r w:rsidRPr="00532434" w:rsidR="00531E92">
        <w:t>registered</w:t>
      </w:r>
      <w:r w:rsidRPr="00532434" w:rsidR="00943F24">
        <w:t xml:space="preserve"> with </w:t>
      </w:r>
      <w:r w:rsidRPr="00532434" w:rsidR="009215A0">
        <w:t xml:space="preserve">the </w:t>
      </w:r>
      <w:hyperlink w:history="1" r:id="rId11">
        <w:r w:rsidRPr="00532434" w:rsidR="00FA6A23">
          <w:rPr>
            <w:rStyle w:val="Hyperlink"/>
            <w:shd w:val="clear" w:color="auto" w:fill="FFFFFF"/>
          </w:rPr>
          <w:t>Office for Product </w:t>
        </w:r>
        <w:r w:rsidRPr="00532434" w:rsidR="00FA6A23">
          <w:rPr>
            <w:rStyle w:val="Hyperlink"/>
          </w:rPr>
          <w:br/>
        </w:r>
        <w:r w:rsidRPr="00532434" w:rsidR="00FA6A23">
          <w:rPr>
            <w:rStyle w:val="Hyperlink"/>
            <w:shd w:val="clear" w:color="auto" w:fill="FFFFFF"/>
          </w:rPr>
          <w:t>Safety &amp; Standards</w:t>
        </w:r>
      </w:hyperlink>
      <w:r w:rsidRPr="00532434" w:rsidR="00FA6A23">
        <w:rPr>
          <w:color w:val="0B0C0C"/>
          <w:shd w:val="clear" w:color="auto" w:fill="FFFFFF"/>
        </w:rPr>
        <w:t xml:space="preserve"> (OPSS),</w:t>
      </w:r>
      <w:r w:rsidRPr="00532434" w:rsidR="009215A0">
        <w:t xml:space="preserve"> </w:t>
      </w:r>
      <w:r w:rsidRPr="00532434" w:rsidR="00943F24">
        <w:t xml:space="preserve">via the Primary Authority Register. </w:t>
      </w:r>
    </w:p>
    <w:p w:rsidRPr="00532434" w:rsidR="00F0719C" w:rsidP="00F0719C" w:rsidRDefault="00293182" w14:paraId="70A3903E" w14:textId="77777777">
      <w:pPr>
        <w:pStyle w:val="Default"/>
        <w:widowControl/>
        <w:numPr>
          <w:ilvl w:val="1"/>
          <w:numId w:val="25"/>
        </w:numPr>
        <w:spacing w:after="200"/>
        <w:jc w:val="both"/>
        <w:rPr>
          <w:rFonts w:eastAsia="Calibri"/>
        </w:rPr>
      </w:pPr>
      <w:r w:rsidRPr="00532434">
        <w:rPr>
          <w:rFonts w:eastAsia="Calibri"/>
        </w:rPr>
        <w:t>The</w:t>
      </w:r>
      <w:r w:rsidRPr="00532434" w:rsidR="00943F24">
        <w:rPr>
          <w:rFonts w:eastAsia="Calibri"/>
        </w:rPr>
        <w:t xml:space="preserve"> Primary Authority </w:t>
      </w:r>
      <w:r w:rsidRPr="00532434">
        <w:rPr>
          <w:rFonts w:eastAsia="Calibri"/>
        </w:rPr>
        <w:t xml:space="preserve">then </w:t>
      </w:r>
      <w:r w:rsidRPr="00532434" w:rsidR="00943F24">
        <w:rPr>
          <w:rFonts w:eastAsia="Calibri"/>
        </w:rPr>
        <w:t xml:space="preserve">acts </w:t>
      </w:r>
      <w:r w:rsidRPr="00532434" w:rsidR="00F0719C">
        <w:rPr>
          <w:rFonts w:eastAsia="Calibri"/>
        </w:rPr>
        <w:t>as the</w:t>
      </w:r>
      <w:r w:rsidRPr="00532434" w:rsidR="00943F24">
        <w:rPr>
          <w:rFonts w:eastAsia="Calibri"/>
        </w:rPr>
        <w:t xml:space="preserve"> single point of contact between its partner business and the local authorities that regulate it.  The Primary Authority can issue assured advice upon which the business can rely</w:t>
      </w:r>
      <w:r w:rsidRPr="00532434">
        <w:rPr>
          <w:rFonts w:eastAsia="Calibri"/>
        </w:rPr>
        <w:t xml:space="preserve"> and</w:t>
      </w:r>
      <w:r w:rsidRPr="00532434" w:rsidR="00F0719C">
        <w:rPr>
          <w:rFonts w:eastAsia="Calibri"/>
        </w:rPr>
        <w:t xml:space="preserve"> can also, where appropriate, devise inspection plans for businesses.  The inspection plan can place specific requirements on </w:t>
      </w:r>
      <w:r w:rsidRPr="00532434">
        <w:rPr>
          <w:rFonts w:eastAsia="Calibri"/>
        </w:rPr>
        <w:t xml:space="preserve">other </w:t>
      </w:r>
      <w:r w:rsidRPr="00532434" w:rsidR="00F0719C">
        <w:rPr>
          <w:rFonts w:eastAsia="Calibri"/>
        </w:rPr>
        <w:t>local authorities and can require feedback on their checks to be given to the Primary Authority.</w:t>
      </w:r>
    </w:p>
    <w:p w:rsidRPr="00532434" w:rsidR="00F0719C" w:rsidP="00F0719C" w:rsidRDefault="00F0719C" w14:paraId="4DE199AD" w14:textId="77777777">
      <w:pPr>
        <w:pStyle w:val="Default"/>
        <w:widowControl/>
        <w:numPr>
          <w:ilvl w:val="1"/>
          <w:numId w:val="25"/>
        </w:numPr>
        <w:spacing w:after="200"/>
        <w:jc w:val="both"/>
      </w:pPr>
      <w:r w:rsidRPr="00532434">
        <w:t xml:space="preserve">Where </w:t>
      </w:r>
      <w:r w:rsidRPr="00532434" w:rsidR="002F509F">
        <w:t xml:space="preserve">an </w:t>
      </w:r>
      <w:r w:rsidRPr="00532434" w:rsidR="00293182">
        <w:t>enforcing local</w:t>
      </w:r>
      <w:r w:rsidRPr="00532434">
        <w:t xml:space="preserve"> authority is considering enforcement action against a business that has a </w:t>
      </w:r>
      <w:r w:rsidRPr="00532434" w:rsidR="00293182">
        <w:t>P</w:t>
      </w:r>
      <w:r w:rsidRPr="00532434">
        <w:t xml:space="preserve">rimary </w:t>
      </w:r>
      <w:r w:rsidRPr="00532434" w:rsidR="00293182">
        <w:t>A</w:t>
      </w:r>
      <w:r w:rsidRPr="00532434">
        <w:t xml:space="preserve">uthority it is required to make a statutory notification to the </w:t>
      </w:r>
      <w:r w:rsidRPr="00532434" w:rsidR="00293182">
        <w:t>P</w:t>
      </w:r>
      <w:r w:rsidRPr="00532434">
        <w:t xml:space="preserve">rimary </w:t>
      </w:r>
      <w:r w:rsidRPr="00532434" w:rsidR="00293182">
        <w:t>A</w:t>
      </w:r>
      <w:r w:rsidRPr="00532434">
        <w:t>uthority. In most cases, this notification must be made before the action can be taken. However, in certain circumstances the notification can be retrospective. These currently include:</w:t>
      </w:r>
    </w:p>
    <w:p w:rsidRPr="00532434" w:rsidR="00F0719C" w:rsidP="00F0719C" w:rsidRDefault="00110803" w14:paraId="62D16520" w14:textId="77777777">
      <w:pPr>
        <w:numPr>
          <w:ilvl w:val="0"/>
          <w:numId w:val="31"/>
        </w:numPr>
        <w:autoSpaceDE w:val="0"/>
        <w:autoSpaceDN w:val="0"/>
        <w:adjustRightInd w:val="0"/>
        <w:jc w:val="both"/>
        <w:rPr>
          <w:rFonts w:cs="Arial"/>
          <w:color w:val="000000"/>
          <w:sz w:val="24"/>
          <w:szCs w:val="24"/>
        </w:rPr>
      </w:pPr>
      <w:r w:rsidRPr="00532434">
        <w:rPr>
          <w:rFonts w:cs="Arial"/>
          <w:bCs/>
          <w:color w:val="000000"/>
          <w:sz w:val="24"/>
          <w:szCs w:val="24"/>
        </w:rPr>
        <w:t xml:space="preserve">abatement notices </w:t>
      </w:r>
      <w:r w:rsidRPr="00532434" w:rsidR="00F0719C">
        <w:rPr>
          <w:rFonts w:cs="Arial"/>
          <w:bCs/>
          <w:color w:val="000000"/>
          <w:sz w:val="24"/>
          <w:szCs w:val="24"/>
        </w:rPr>
        <w:t>the Environmental Protection Act 1990</w:t>
      </w:r>
    </w:p>
    <w:p w:rsidRPr="00532434" w:rsidR="00F0719C" w:rsidP="00F0719C" w:rsidRDefault="00F0719C" w14:paraId="16217051" w14:textId="77777777">
      <w:pPr>
        <w:numPr>
          <w:ilvl w:val="0"/>
          <w:numId w:val="31"/>
        </w:numPr>
        <w:autoSpaceDE w:val="0"/>
        <w:autoSpaceDN w:val="0"/>
        <w:adjustRightInd w:val="0"/>
        <w:jc w:val="both"/>
        <w:rPr>
          <w:rFonts w:cs="Arial"/>
          <w:color w:val="000000"/>
          <w:sz w:val="24"/>
          <w:szCs w:val="24"/>
        </w:rPr>
      </w:pPr>
      <w:r w:rsidRPr="00532434">
        <w:rPr>
          <w:rFonts w:cs="Arial"/>
          <w:bCs/>
          <w:color w:val="000000"/>
          <w:sz w:val="24"/>
          <w:szCs w:val="24"/>
        </w:rPr>
        <w:t>emergency prohibition</w:t>
      </w:r>
      <w:r w:rsidRPr="00532434" w:rsidR="00110803">
        <w:rPr>
          <w:rFonts w:cs="Arial"/>
          <w:bCs/>
          <w:color w:val="000000"/>
          <w:sz w:val="24"/>
          <w:szCs w:val="24"/>
        </w:rPr>
        <w:t xml:space="preserve"> </w:t>
      </w:r>
      <w:r w:rsidRPr="00532434">
        <w:rPr>
          <w:rFonts w:cs="Arial"/>
          <w:bCs/>
          <w:color w:val="000000"/>
          <w:sz w:val="24"/>
          <w:szCs w:val="24"/>
        </w:rPr>
        <w:t>notices under specified food hygiene legislation</w:t>
      </w:r>
    </w:p>
    <w:p w:rsidRPr="00532434" w:rsidR="00F0719C" w:rsidP="00F0719C" w:rsidRDefault="00F0719C" w14:paraId="1BDE984A" w14:textId="77777777">
      <w:pPr>
        <w:numPr>
          <w:ilvl w:val="0"/>
          <w:numId w:val="31"/>
        </w:numPr>
        <w:autoSpaceDE w:val="0"/>
        <w:autoSpaceDN w:val="0"/>
        <w:adjustRightInd w:val="0"/>
        <w:jc w:val="both"/>
        <w:rPr>
          <w:rFonts w:cs="Arial"/>
          <w:color w:val="000000"/>
          <w:sz w:val="24"/>
          <w:szCs w:val="24"/>
        </w:rPr>
      </w:pPr>
      <w:r w:rsidRPr="00532434">
        <w:rPr>
          <w:rFonts w:cs="Arial"/>
          <w:bCs/>
          <w:color w:val="000000"/>
          <w:sz w:val="24"/>
          <w:szCs w:val="24"/>
        </w:rPr>
        <w:t>prohibition notices under the Regulatory Reform (Fire Safety) Order 2005</w:t>
      </w:r>
    </w:p>
    <w:p w:rsidRPr="00532434" w:rsidR="00F0719C" w:rsidP="00F0719C" w:rsidRDefault="00F0719C" w14:paraId="4584FF96" w14:textId="77777777">
      <w:pPr>
        <w:numPr>
          <w:ilvl w:val="0"/>
          <w:numId w:val="31"/>
        </w:numPr>
        <w:autoSpaceDE w:val="0"/>
        <w:autoSpaceDN w:val="0"/>
        <w:adjustRightInd w:val="0"/>
        <w:jc w:val="both"/>
        <w:rPr>
          <w:rFonts w:cs="Arial"/>
          <w:color w:val="000000"/>
          <w:sz w:val="24"/>
          <w:szCs w:val="24"/>
        </w:rPr>
      </w:pPr>
      <w:r w:rsidRPr="00532434">
        <w:rPr>
          <w:rFonts w:cs="Arial"/>
          <w:bCs/>
          <w:color w:val="000000"/>
          <w:sz w:val="24"/>
          <w:szCs w:val="24"/>
        </w:rPr>
        <w:t>notices of emergency remedial action under the Housing Act 2004</w:t>
      </w:r>
    </w:p>
    <w:p w:rsidRPr="00532434" w:rsidR="00F0719C" w:rsidP="00F0719C" w:rsidRDefault="00F0719C" w14:paraId="1A4DF9E2" w14:textId="77777777">
      <w:pPr>
        <w:numPr>
          <w:ilvl w:val="0"/>
          <w:numId w:val="31"/>
        </w:numPr>
        <w:autoSpaceDE w:val="0"/>
        <w:autoSpaceDN w:val="0"/>
        <w:adjustRightInd w:val="0"/>
        <w:jc w:val="both"/>
        <w:rPr>
          <w:rFonts w:cs="Arial"/>
          <w:color w:val="000000"/>
          <w:sz w:val="24"/>
          <w:szCs w:val="24"/>
        </w:rPr>
      </w:pPr>
      <w:r w:rsidRPr="00532434">
        <w:rPr>
          <w:rFonts w:cs="Arial"/>
          <w:bCs/>
          <w:color w:val="000000"/>
          <w:sz w:val="24"/>
          <w:szCs w:val="24"/>
        </w:rPr>
        <w:t>emergency prohibition orders under the Housing Act 2004</w:t>
      </w:r>
    </w:p>
    <w:p w:rsidRPr="00532434" w:rsidR="00F0719C" w:rsidP="00F0719C" w:rsidRDefault="00F0719C" w14:paraId="3C780527" w14:textId="206DF651">
      <w:pPr>
        <w:numPr>
          <w:ilvl w:val="0"/>
          <w:numId w:val="31"/>
        </w:numPr>
        <w:autoSpaceDE w:val="0"/>
        <w:autoSpaceDN w:val="0"/>
        <w:adjustRightInd w:val="0"/>
        <w:jc w:val="both"/>
        <w:rPr>
          <w:rFonts w:cs="Arial"/>
          <w:color w:val="000000"/>
          <w:sz w:val="24"/>
          <w:szCs w:val="24"/>
        </w:rPr>
      </w:pPr>
      <w:r w:rsidRPr="00532434">
        <w:rPr>
          <w:rFonts w:cs="Arial"/>
          <w:bCs/>
          <w:color w:val="000000"/>
          <w:sz w:val="24"/>
          <w:szCs w:val="24"/>
        </w:rPr>
        <w:t xml:space="preserve">enforcement action that is required urgently to avoid a significant risk of harm to human health, the </w:t>
      </w:r>
      <w:r w:rsidRPr="00532434" w:rsidR="00957609">
        <w:rPr>
          <w:rFonts w:cs="Arial"/>
          <w:bCs/>
          <w:color w:val="000000"/>
          <w:sz w:val="24"/>
          <w:szCs w:val="24"/>
        </w:rPr>
        <w:t>environment,</w:t>
      </w:r>
      <w:r w:rsidRPr="00532434">
        <w:rPr>
          <w:rFonts w:cs="Arial"/>
          <w:bCs/>
          <w:color w:val="000000"/>
          <w:sz w:val="24"/>
          <w:szCs w:val="24"/>
        </w:rPr>
        <w:t xml:space="preserve"> or the financial interests of consumers; and</w:t>
      </w:r>
    </w:p>
    <w:p w:rsidRPr="00532434" w:rsidR="00F0719C" w:rsidP="00F0719C" w:rsidRDefault="00F0719C" w14:paraId="636A8FE5" w14:textId="77777777">
      <w:pPr>
        <w:numPr>
          <w:ilvl w:val="0"/>
          <w:numId w:val="31"/>
        </w:numPr>
        <w:autoSpaceDE w:val="0"/>
        <w:autoSpaceDN w:val="0"/>
        <w:adjustRightInd w:val="0"/>
        <w:jc w:val="both"/>
        <w:rPr>
          <w:rFonts w:cs="Arial"/>
          <w:color w:val="000000"/>
          <w:sz w:val="24"/>
          <w:szCs w:val="24"/>
        </w:rPr>
      </w:pPr>
      <w:r w:rsidRPr="00532434">
        <w:rPr>
          <w:rFonts w:cs="Arial"/>
          <w:bCs/>
          <w:color w:val="000000"/>
          <w:sz w:val="24"/>
          <w:szCs w:val="24"/>
        </w:rPr>
        <w:t xml:space="preserve">enforcement action where the ‘pre-notification’ requirements of the scheme would be wholly disproportionate. </w:t>
      </w:r>
    </w:p>
    <w:p w:rsidRPr="00532434" w:rsidR="00F0719C" w:rsidP="00F0719C" w:rsidRDefault="00F0719C" w14:paraId="0A1F1F28" w14:textId="77777777">
      <w:pPr>
        <w:autoSpaceDE w:val="0"/>
        <w:autoSpaceDN w:val="0"/>
        <w:adjustRightInd w:val="0"/>
        <w:ind w:left="720"/>
        <w:jc w:val="both"/>
        <w:rPr>
          <w:rFonts w:cs="Arial"/>
          <w:bCs/>
          <w:color w:val="000000"/>
          <w:sz w:val="24"/>
          <w:szCs w:val="24"/>
        </w:rPr>
      </w:pPr>
    </w:p>
    <w:p w:rsidR="00B643A6" w:rsidP="00BD2A8D" w:rsidRDefault="00F0719C" w14:paraId="0D668801" w14:textId="508D588B">
      <w:pPr>
        <w:pStyle w:val="Default"/>
        <w:widowControl/>
        <w:numPr>
          <w:ilvl w:val="1"/>
          <w:numId w:val="25"/>
        </w:numPr>
        <w:spacing w:after="200"/>
        <w:jc w:val="both"/>
        <w:rPr>
          <w:rFonts w:eastAsia="Calibri"/>
        </w:rPr>
      </w:pPr>
      <w:r w:rsidRPr="00532434">
        <w:rPr>
          <w:rFonts w:eastAsia="Calibri"/>
        </w:rPr>
        <w:t xml:space="preserve">If another local authority proposes enforcement action which the Primary Authority deems to be inconsistent with the assured advice, the Primary </w:t>
      </w:r>
      <w:r w:rsidRPr="00532434">
        <w:rPr>
          <w:rFonts w:eastAsia="Calibri"/>
        </w:rPr>
        <w:lastRenderedPageBreak/>
        <w:t xml:space="preserve">Authority may </w:t>
      </w:r>
      <w:r w:rsidRPr="00532434" w:rsidR="007D7549">
        <w:rPr>
          <w:rFonts w:eastAsia="Calibri"/>
        </w:rPr>
        <w:t xml:space="preserve">seek to </w:t>
      </w:r>
      <w:r w:rsidRPr="00532434">
        <w:rPr>
          <w:rFonts w:eastAsia="Calibri"/>
        </w:rPr>
        <w:t>block the enforcement action</w:t>
      </w:r>
      <w:r w:rsidRPr="00532434" w:rsidR="007D7549">
        <w:rPr>
          <w:rFonts w:eastAsia="Calibri"/>
        </w:rPr>
        <w:t>. Where this is the case but is disputed, or there is a need for further considerations, the matter would be referred to</w:t>
      </w:r>
      <w:r w:rsidRPr="00532434" w:rsidR="00FA6A23">
        <w:rPr>
          <w:rFonts w:eastAsia="Calibri"/>
        </w:rPr>
        <w:t xml:space="preserve"> the</w:t>
      </w:r>
      <w:r w:rsidRPr="00532434" w:rsidR="007D7549">
        <w:rPr>
          <w:rFonts w:eastAsia="Calibri"/>
        </w:rPr>
        <w:t xml:space="preserve"> </w:t>
      </w:r>
      <w:hyperlink w:history="1" r:id="rId12">
        <w:r w:rsidRPr="00532434" w:rsidR="00FA6A23">
          <w:rPr>
            <w:rStyle w:val="Hyperlink"/>
            <w:shd w:val="clear" w:color="auto" w:fill="FFFFFF"/>
          </w:rPr>
          <w:t>Office for Product </w:t>
        </w:r>
        <w:r w:rsidRPr="00532434" w:rsidR="00FA6A23">
          <w:rPr>
            <w:rStyle w:val="Hyperlink"/>
          </w:rPr>
          <w:br/>
        </w:r>
        <w:r w:rsidRPr="00532434" w:rsidR="00FA6A23">
          <w:rPr>
            <w:rStyle w:val="Hyperlink"/>
            <w:shd w:val="clear" w:color="auto" w:fill="FFFFFF"/>
          </w:rPr>
          <w:t>Safety &amp; Standards</w:t>
        </w:r>
      </w:hyperlink>
      <w:r w:rsidRPr="00532434" w:rsidR="00FA6A23">
        <w:rPr>
          <w:color w:val="0B0C0C"/>
          <w:shd w:val="clear" w:color="auto" w:fill="FFFFFF"/>
        </w:rPr>
        <w:t xml:space="preserve"> (OPSS) </w:t>
      </w:r>
      <w:r w:rsidRPr="00532434" w:rsidR="007D7549">
        <w:rPr>
          <w:rFonts w:eastAsia="Calibri"/>
        </w:rPr>
        <w:t xml:space="preserve">for their consideration/determination. </w:t>
      </w:r>
    </w:p>
    <w:p w:rsidRPr="008B564D" w:rsidR="00E87564" w:rsidP="00E87564" w:rsidRDefault="00E87564" w14:paraId="598AB41F" w14:textId="77777777">
      <w:pPr>
        <w:pStyle w:val="Default"/>
        <w:widowControl/>
        <w:spacing w:after="200"/>
        <w:ind w:left="720"/>
        <w:jc w:val="both"/>
        <w:rPr>
          <w:rFonts w:eastAsia="Calibri"/>
        </w:rPr>
      </w:pPr>
    </w:p>
    <w:p w:rsidRPr="00532434" w:rsidR="0047070B" w:rsidP="00BD2A8D" w:rsidRDefault="00B643A6" w14:paraId="2A4FC4CD" w14:textId="33ADC891">
      <w:pPr>
        <w:pStyle w:val="Heading2"/>
        <w:rPr>
          <w:i w:val="0"/>
          <w:iCs w:val="0"/>
        </w:rPr>
      </w:pPr>
      <w:r w:rsidRPr="00532434">
        <w:rPr>
          <w:i w:val="0"/>
          <w:iCs w:val="0"/>
        </w:rPr>
        <w:t>4</w:t>
      </w:r>
      <w:r w:rsidRPr="00532434">
        <w:rPr>
          <w:i w:val="0"/>
          <w:iCs w:val="0"/>
        </w:rPr>
        <w:tab/>
      </w:r>
      <w:r w:rsidRPr="00532434" w:rsidR="00BE402F">
        <w:rPr>
          <w:i w:val="0"/>
          <w:iCs w:val="0"/>
        </w:rPr>
        <w:t>E</w:t>
      </w:r>
      <w:r w:rsidRPr="00532434" w:rsidR="0047070B">
        <w:rPr>
          <w:i w:val="0"/>
          <w:iCs w:val="0"/>
        </w:rPr>
        <w:t>nforcement Actions</w:t>
      </w:r>
    </w:p>
    <w:p w:rsidRPr="00532434" w:rsidR="00624464" w:rsidP="00624464" w:rsidRDefault="00624464" w14:paraId="513DA9C3" w14:textId="77777777">
      <w:pPr>
        <w:rPr>
          <w:rFonts w:cs="Arial"/>
          <w:b/>
          <w:sz w:val="24"/>
          <w:szCs w:val="24"/>
        </w:rPr>
      </w:pPr>
    </w:p>
    <w:p w:rsidRPr="00532434" w:rsidR="00031A4F" w:rsidP="00CB0362" w:rsidRDefault="00031A4F" w14:paraId="45A68E02" w14:textId="358F5832">
      <w:pPr>
        <w:numPr>
          <w:ilvl w:val="1"/>
          <w:numId w:val="22"/>
        </w:numPr>
        <w:jc w:val="both"/>
        <w:rPr>
          <w:rFonts w:cs="Arial"/>
          <w:sz w:val="24"/>
          <w:szCs w:val="24"/>
        </w:rPr>
      </w:pPr>
      <w:r w:rsidRPr="00532434">
        <w:rPr>
          <w:rFonts w:cs="Arial"/>
          <w:sz w:val="24"/>
          <w:szCs w:val="24"/>
        </w:rPr>
        <w:t xml:space="preserve">Nothing in this policy shall be taken to compel us to take enforcement action. In certain </w:t>
      </w:r>
      <w:r w:rsidRPr="00532434" w:rsidR="00F768D9">
        <w:rPr>
          <w:rFonts w:cs="Arial"/>
          <w:sz w:val="24"/>
          <w:szCs w:val="24"/>
        </w:rPr>
        <w:t>instances,</w:t>
      </w:r>
      <w:r w:rsidRPr="00532434">
        <w:rPr>
          <w:rFonts w:cs="Arial"/>
          <w:sz w:val="24"/>
          <w:szCs w:val="24"/>
        </w:rPr>
        <w:t xml:space="preserve"> we may conclude that an enforcement response is not appropriate given the circumstances. </w:t>
      </w:r>
    </w:p>
    <w:p w:rsidRPr="00532434" w:rsidR="009264E8" w:rsidP="009264E8" w:rsidRDefault="009264E8" w14:paraId="21A2B959" w14:textId="77777777">
      <w:pPr>
        <w:ind w:left="720"/>
        <w:rPr>
          <w:rFonts w:cs="Arial"/>
          <w:sz w:val="24"/>
          <w:szCs w:val="24"/>
        </w:rPr>
      </w:pPr>
    </w:p>
    <w:p w:rsidRPr="00532434" w:rsidR="009264E8" w:rsidP="00CB0362" w:rsidRDefault="009264E8" w14:paraId="7AAD3DE8" w14:textId="77777777">
      <w:pPr>
        <w:numPr>
          <w:ilvl w:val="1"/>
          <w:numId w:val="22"/>
        </w:numPr>
        <w:spacing w:after="120"/>
        <w:jc w:val="both"/>
        <w:rPr>
          <w:rFonts w:cs="Arial"/>
          <w:color w:val="000000"/>
          <w:sz w:val="24"/>
          <w:szCs w:val="24"/>
        </w:rPr>
      </w:pPr>
      <w:r w:rsidRPr="00532434">
        <w:rPr>
          <w:rFonts w:cs="Arial"/>
          <w:sz w:val="24"/>
          <w:szCs w:val="24"/>
        </w:rPr>
        <w:t>In deciding what enforcement action to take, we will have regard to the following aims:</w:t>
      </w:r>
    </w:p>
    <w:p w:rsidRPr="00532434" w:rsidR="009264E8" w:rsidP="009264E8" w:rsidRDefault="009264E8" w14:paraId="632CDE6C" w14:textId="77777777">
      <w:pPr>
        <w:numPr>
          <w:ilvl w:val="0"/>
          <w:numId w:val="13"/>
        </w:numPr>
        <w:rPr>
          <w:rFonts w:cs="Arial"/>
          <w:color w:val="000000"/>
          <w:sz w:val="24"/>
          <w:szCs w:val="24"/>
        </w:rPr>
      </w:pPr>
      <w:r w:rsidRPr="00532434">
        <w:rPr>
          <w:rFonts w:cs="Arial"/>
          <w:color w:val="000000"/>
          <w:sz w:val="24"/>
          <w:szCs w:val="24"/>
        </w:rPr>
        <w:t xml:space="preserve">to </w:t>
      </w:r>
      <w:r w:rsidRPr="00532434">
        <w:rPr>
          <w:rFonts w:cs="Arial"/>
          <w:color w:val="000000"/>
          <w:sz w:val="24"/>
          <w:szCs w:val="24"/>
          <w:lang w:val="en-US"/>
        </w:rPr>
        <w:t>change</w:t>
      </w:r>
      <w:r w:rsidRPr="00532434">
        <w:rPr>
          <w:rFonts w:cs="Arial"/>
          <w:color w:val="000000"/>
          <w:sz w:val="24"/>
          <w:szCs w:val="24"/>
        </w:rPr>
        <w:t xml:space="preserve"> the behaviour of the offender</w:t>
      </w:r>
    </w:p>
    <w:p w:rsidRPr="00532434" w:rsidR="009264E8" w:rsidP="009264E8" w:rsidRDefault="009264E8" w14:paraId="4B5DB9DD" w14:textId="77777777">
      <w:pPr>
        <w:numPr>
          <w:ilvl w:val="0"/>
          <w:numId w:val="13"/>
        </w:numPr>
        <w:rPr>
          <w:rFonts w:cs="Arial"/>
          <w:color w:val="000000"/>
          <w:sz w:val="24"/>
          <w:szCs w:val="24"/>
        </w:rPr>
      </w:pPr>
      <w:r w:rsidRPr="00532434">
        <w:rPr>
          <w:rFonts w:cs="Arial"/>
          <w:color w:val="000000"/>
          <w:sz w:val="24"/>
          <w:szCs w:val="24"/>
        </w:rPr>
        <w:t>to eliminate financial gain or benefit from non-compliance</w:t>
      </w:r>
    </w:p>
    <w:p w:rsidRPr="00532434" w:rsidR="009264E8" w:rsidP="009264E8" w:rsidRDefault="009264E8" w14:paraId="65B02AF3" w14:textId="77777777">
      <w:pPr>
        <w:numPr>
          <w:ilvl w:val="0"/>
          <w:numId w:val="13"/>
        </w:numPr>
        <w:rPr>
          <w:rFonts w:cs="Arial"/>
          <w:color w:val="000000"/>
          <w:sz w:val="24"/>
          <w:szCs w:val="24"/>
        </w:rPr>
      </w:pPr>
      <w:r w:rsidRPr="00532434">
        <w:rPr>
          <w:rFonts w:cs="Arial"/>
          <w:sz w:val="24"/>
          <w:szCs w:val="24"/>
        </w:rPr>
        <w:t>to be responsive and consider what is the most appropriate sanction for</w:t>
      </w:r>
      <w:r w:rsidRPr="00532434">
        <w:rPr>
          <w:rFonts w:cs="Arial"/>
          <w:color w:val="000000"/>
          <w:sz w:val="24"/>
          <w:szCs w:val="24"/>
        </w:rPr>
        <w:t xml:space="preserve"> </w:t>
      </w:r>
      <w:r w:rsidRPr="00532434">
        <w:rPr>
          <w:rFonts w:cs="Arial"/>
          <w:sz w:val="24"/>
          <w:szCs w:val="24"/>
        </w:rPr>
        <w:t>the particular offender and the regulatory issue concerned</w:t>
      </w:r>
    </w:p>
    <w:p w:rsidRPr="00532434" w:rsidR="009264E8" w:rsidP="009264E8" w:rsidRDefault="009264E8" w14:paraId="326C9A0C" w14:textId="77777777">
      <w:pPr>
        <w:numPr>
          <w:ilvl w:val="0"/>
          <w:numId w:val="13"/>
        </w:numPr>
        <w:rPr>
          <w:rFonts w:cs="Arial"/>
          <w:color w:val="000000"/>
          <w:sz w:val="24"/>
          <w:szCs w:val="24"/>
        </w:rPr>
      </w:pPr>
      <w:r w:rsidRPr="00532434">
        <w:rPr>
          <w:rFonts w:cs="Arial"/>
          <w:color w:val="000000"/>
          <w:sz w:val="24"/>
          <w:szCs w:val="24"/>
        </w:rPr>
        <w:t>to be proportionate to the nature of the offence and the harm/potential harm caused</w:t>
      </w:r>
    </w:p>
    <w:p w:rsidRPr="00532434" w:rsidR="009264E8" w:rsidP="009264E8" w:rsidRDefault="009264E8" w14:paraId="0B5E9C2C" w14:textId="77777777">
      <w:pPr>
        <w:numPr>
          <w:ilvl w:val="0"/>
          <w:numId w:val="13"/>
        </w:numPr>
        <w:rPr>
          <w:rFonts w:cs="Arial"/>
          <w:color w:val="000000"/>
          <w:sz w:val="24"/>
          <w:szCs w:val="24"/>
        </w:rPr>
      </w:pPr>
      <w:r w:rsidRPr="00532434">
        <w:rPr>
          <w:rFonts w:cs="Arial"/>
          <w:color w:val="000000"/>
          <w:sz w:val="24"/>
          <w:szCs w:val="24"/>
        </w:rPr>
        <w:t>to repair the harm caused to victims, where appropriate to do so</w:t>
      </w:r>
    </w:p>
    <w:p w:rsidRPr="00532434" w:rsidR="009264E8" w:rsidP="009264E8" w:rsidRDefault="009264E8" w14:paraId="479A0758" w14:textId="77777777">
      <w:pPr>
        <w:numPr>
          <w:ilvl w:val="0"/>
          <w:numId w:val="13"/>
        </w:numPr>
        <w:rPr>
          <w:rFonts w:cs="Arial"/>
          <w:color w:val="000000"/>
          <w:sz w:val="24"/>
          <w:szCs w:val="24"/>
        </w:rPr>
      </w:pPr>
      <w:r w:rsidRPr="00532434">
        <w:rPr>
          <w:rFonts w:cs="Arial"/>
          <w:color w:val="000000"/>
          <w:sz w:val="24"/>
          <w:szCs w:val="24"/>
        </w:rPr>
        <w:t>to deter future non-compliance.</w:t>
      </w:r>
    </w:p>
    <w:p w:rsidRPr="00532434" w:rsidR="009264E8" w:rsidP="009264E8" w:rsidRDefault="009264E8" w14:paraId="7B18A01E" w14:textId="77777777">
      <w:pPr>
        <w:ind w:left="1080"/>
        <w:rPr>
          <w:rFonts w:cs="Arial"/>
          <w:color w:val="000000"/>
          <w:sz w:val="24"/>
          <w:szCs w:val="24"/>
        </w:rPr>
      </w:pPr>
    </w:p>
    <w:p w:rsidRPr="00532434" w:rsidR="00B643A6" w:rsidP="009264E8" w:rsidRDefault="00F768D9" w14:paraId="2266D31D" w14:textId="27B333D6">
      <w:pPr>
        <w:numPr>
          <w:ilvl w:val="1"/>
          <w:numId w:val="22"/>
        </w:numPr>
        <w:rPr>
          <w:rFonts w:cs="Arial"/>
          <w:sz w:val="24"/>
          <w:szCs w:val="24"/>
        </w:rPr>
      </w:pPr>
      <w:r w:rsidRPr="00532434">
        <w:rPr>
          <w:rFonts w:cs="Arial"/>
          <w:sz w:val="24"/>
          <w:szCs w:val="24"/>
        </w:rPr>
        <w:t>The Key approach in seeking compliance is to:</w:t>
      </w:r>
    </w:p>
    <w:p w:rsidRPr="00532434" w:rsidR="00F768D9" w:rsidP="00F768D9" w:rsidRDefault="00F768D9" w14:paraId="20D86698" w14:textId="6344A3A1">
      <w:pPr>
        <w:pStyle w:val="ListParagraph"/>
        <w:numPr>
          <w:ilvl w:val="0"/>
          <w:numId w:val="44"/>
        </w:numPr>
        <w:rPr>
          <w:rFonts w:ascii="Arial" w:hAnsi="Arial" w:cs="Arial"/>
          <w:sz w:val="24"/>
          <w:szCs w:val="24"/>
        </w:rPr>
      </w:pPr>
      <w:r w:rsidRPr="00532434">
        <w:rPr>
          <w:rFonts w:ascii="Arial" w:hAnsi="Arial" w:cs="Arial"/>
          <w:sz w:val="24"/>
          <w:szCs w:val="24"/>
        </w:rPr>
        <w:t>Engage</w:t>
      </w:r>
    </w:p>
    <w:p w:rsidRPr="00532434" w:rsidR="00F768D9" w:rsidP="00F768D9" w:rsidRDefault="00F768D9" w14:paraId="5B463659" w14:textId="4152CEB5">
      <w:pPr>
        <w:pStyle w:val="ListParagraph"/>
        <w:numPr>
          <w:ilvl w:val="0"/>
          <w:numId w:val="44"/>
        </w:numPr>
        <w:rPr>
          <w:rFonts w:ascii="Arial" w:hAnsi="Arial" w:cs="Arial"/>
          <w:sz w:val="24"/>
          <w:szCs w:val="24"/>
        </w:rPr>
      </w:pPr>
      <w:r w:rsidRPr="00532434">
        <w:rPr>
          <w:rFonts w:ascii="Arial" w:hAnsi="Arial" w:cs="Arial"/>
          <w:sz w:val="24"/>
          <w:szCs w:val="24"/>
        </w:rPr>
        <w:t>Explain</w:t>
      </w:r>
    </w:p>
    <w:p w:rsidRPr="00532434" w:rsidR="00F768D9" w:rsidP="00F768D9" w:rsidRDefault="00F768D9" w14:paraId="20D0CE8C" w14:textId="4CC6DA18">
      <w:pPr>
        <w:pStyle w:val="ListParagraph"/>
        <w:numPr>
          <w:ilvl w:val="0"/>
          <w:numId w:val="44"/>
        </w:numPr>
        <w:rPr>
          <w:rFonts w:ascii="Arial" w:hAnsi="Arial" w:cs="Arial"/>
          <w:sz w:val="24"/>
          <w:szCs w:val="24"/>
        </w:rPr>
      </w:pPr>
      <w:r w:rsidRPr="00532434">
        <w:rPr>
          <w:rFonts w:ascii="Arial" w:hAnsi="Arial" w:cs="Arial"/>
          <w:sz w:val="24"/>
          <w:szCs w:val="24"/>
        </w:rPr>
        <w:t>Encourage</w:t>
      </w:r>
    </w:p>
    <w:p w:rsidRPr="00532434" w:rsidR="00F768D9" w:rsidP="00BD2A8D" w:rsidRDefault="00F768D9" w14:paraId="03A9A9E2" w14:textId="3BB974D9">
      <w:pPr>
        <w:pStyle w:val="ListParagraph"/>
        <w:numPr>
          <w:ilvl w:val="0"/>
          <w:numId w:val="44"/>
        </w:numPr>
        <w:rPr>
          <w:rFonts w:ascii="Arial" w:hAnsi="Arial" w:cs="Arial"/>
          <w:sz w:val="24"/>
          <w:szCs w:val="24"/>
        </w:rPr>
      </w:pPr>
      <w:r w:rsidRPr="00532434">
        <w:rPr>
          <w:rFonts w:ascii="Arial" w:hAnsi="Arial" w:cs="Arial"/>
          <w:sz w:val="24"/>
          <w:szCs w:val="24"/>
        </w:rPr>
        <w:t>Enforce</w:t>
      </w:r>
    </w:p>
    <w:p w:rsidRPr="00532434" w:rsidR="00F768D9" w:rsidP="00CB0362" w:rsidRDefault="00F768D9" w14:paraId="4EEC6502" w14:textId="7B7E5448">
      <w:pPr>
        <w:numPr>
          <w:ilvl w:val="1"/>
          <w:numId w:val="22"/>
        </w:numPr>
        <w:jc w:val="both"/>
        <w:rPr>
          <w:rFonts w:cs="Arial"/>
          <w:sz w:val="24"/>
          <w:szCs w:val="24"/>
        </w:rPr>
      </w:pPr>
      <w:r w:rsidRPr="00532434">
        <w:rPr>
          <w:rFonts w:cs="Arial"/>
          <w:sz w:val="24"/>
          <w:szCs w:val="24"/>
        </w:rPr>
        <w:t>The prime objective is to obtain compliance by consent – it is anticipated that, in the vast majority of cases, businesses will comply with the legal requirements further to the provision of advice.</w:t>
      </w:r>
    </w:p>
    <w:p w:rsidRPr="00532434" w:rsidR="00F768D9" w:rsidP="00BD2A8D" w:rsidRDefault="00F768D9" w14:paraId="32067854" w14:textId="77777777">
      <w:pPr>
        <w:ind w:left="720"/>
        <w:jc w:val="both"/>
        <w:rPr>
          <w:rFonts w:cs="Arial"/>
          <w:sz w:val="24"/>
          <w:szCs w:val="24"/>
        </w:rPr>
      </w:pPr>
    </w:p>
    <w:p w:rsidRPr="00532434" w:rsidR="009264E8" w:rsidP="00CB0362" w:rsidRDefault="009264E8" w14:paraId="7AC3A757" w14:textId="6DD38E72">
      <w:pPr>
        <w:numPr>
          <w:ilvl w:val="1"/>
          <w:numId w:val="22"/>
        </w:numPr>
        <w:jc w:val="both"/>
        <w:rPr>
          <w:rFonts w:cs="Arial"/>
          <w:sz w:val="24"/>
          <w:szCs w:val="24"/>
        </w:rPr>
      </w:pPr>
      <w:r w:rsidRPr="00532434">
        <w:rPr>
          <w:rFonts w:cs="Arial"/>
          <w:sz w:val="24"/>
          <w:szCs w:val="24"/>
        </w:rPr>
        <w:t>Any decision to undertake formal enforcement action will be taken in the context of operational priorities</w:t>
      </w:r>
      <w:r w:rsidR="00273B85">
        <w:rPr>
          <w:rFonts w:cs="Arial"/>
          <w:sz w:val="24"/>
          <w:szCs w:val="24"/>
        </w:rPr>
        <w:t xml:space="preserve">, </w:t>
      </w:r>
      <w:r w:rsidRPr="00532434">
        <w:rPr>
          <w:rFonts w:cs="Arial"/>
          <w:sz w:val="24"/>
          <w:szCs w:val="24"/>
        </w:rPr>
        <w:t>this policy</w:t>
      </w:r>
      <w:r w:rsidR="00FA004C">
        <w:rPr>
          <w:rFonts w:cs="Arial"/>
          <w:sz w:val="24"/>
          <w:szCs w:val="24"/>
        </w:rPr>
        <w:t xml:space="preserve"> and the Council Constitution and scheme of delegations.</w:t>
      </w:r>
      <w:r w:rsidRPr="00532434" w:rsidR="00FE7A33">
        <w:rPr>
          <w:rFonts w:cs="Arial"/>
          <w:sz w:val="24"/>
          <w:szCs w:val="24"/>
        </w:rPr>
        <w:t xml:space="preserve"> </w:t>
      </w:r>
      <w:r w:rsidRPr="00532434">
        <w:rPr>
          <w:rFonts w:cs="Arial"/>
          <w:sz w:val="24"/>
          <w:szCs w:val="24"/>
        </w:rPr>
        <w:t xml:space="preserve">Such decisions will include the use of intelligence in determining the nature of any response, as well as being subject to ongoing monitoring and review. </w:t>
      </w:r>
    </w:p>
    <w:p w:rsidRPr="00532434" w:rsidR="009264E8" w:rsidP="00CB0362" w:rsidRDefault="009264E8" w14:paraId="3EF7ABF7" w14:textId="77777777">
      <w:pPr>
        <w:ind w:left="720"/>
        <w:jc w:val="both"/>
        <w:rPr>
          <w:rFonts w:cs="Arial"/>
          <w:sz w:val="24"/>
          <w:szCs w:val="24"/>
        </w:rPr>
      </w:pPr>
    </w:p>
    <w:p w:rsidRPr="00532434" w:rsidR="009264E8" w:rsidP="00CB0362" w:rsidRDefault="009264E8" w14:paraId="3E8D0A35" w14:textId="77777777">
      <w:pPr>
        <w:numPr>
          <w:ilvl w:val="1"/>
          <w:numId w:val="22"/>
        </w:numPr>
        <w:jc w:val="both"/>
        <w:rPr>
          <w:rFonts w:cs="Arial"/>
          <w:sz w:val="24"/>
          <w:szCs w:val="24"/>
        </w:rPr>
      </w:pPr>
      <w:r w:rsidRPr="00532434">
        <w:rPr>
          <w:rFonts w:cs="Arial"/>
          <w:sz w:val="24"/>
          <w:szCs w:val="24"/>
        </w:rPr>
        <w:t>Where a right of appeal against a formal action exists other than through the courts, advice on the appeal mechanism will be clearly set out in writing at the time the action is taken.</w:t>
      </w:r>
    </w:p>
    <w:p w:rsidRPr="00532434" w:rsidR="009264E8" w:rsidP="00CB0362" w:rsidRDefault="009264E8" w14:paraId="43CD672C" w14:textId="77777777">
      <w:pPr>
        <w:ind w:left="720"/>
        <w:jc w:val="both"/>
        <w:rPr>
          <w:rFonts w:cs="Arial"/>
          <w:sz w:val="24"/>
          <w:szCs w:val="24"/>
        </w:rPr>
      </w:pPr>
    </w:p>
    <w:p w:rsidRPr="00532434" w:rsidR="009264E8" w:rsidP="00CB0362" w:rsidRDefault="00FE7A33" w14:paraId="39FBED9C" w14:textId="289B73B8">
      <w:pPr>
        <w:numPr>
          <w:ilvl w:val="1"/>
          <w:numId w:val="22"/>
        </w:numPr>
        <w:spacing w:after="120"/>
        <w:jc w:val="both"/>
        <w:rPr>
          <w:rFonts w:cs="Arial"/>
          <w:sz w:val="24"/>
          <w:szCs w:val="24"/>
        </w:rPr>
      </w:pPr>
      <w:r w:rsidRPr="00532434">
        <w:rPr>
          <w:rFonts w:cs="Arial"/>
          <w:strike/>
          <w:color w:val="000000"/>
          <w:sz w:val="24"/>
          <w:szCs w:val="24"/>
        </w:rPr>
        <w:t>A</w:t>
      </w:r>
      <w:r w:rsidRPr="00532434" w:rsidR="009264E8">
        <w:rPr>
          <w:rFonts w:cs="Arial"/>
          <w:color w:val="000000"/>
          <w:sz w:val="24"/>
          <w:szCs w:val="24"/>
        </w:rPr>
        <w:t>ll investigations into alleged breaches of legislation will be conducted in compliance with statutory powers, time limits and all other relevant legislation (and relevant Codes of Practice), including the requirements of:</w:t>
      </w:r>
    </w:p>
    <w:p w:rsidRPr="00532434" w:rsidR="009264E8" w:rsidP="009264E8" w:rsidRDefault="009264E8" w14:paraId="10D73F5C" w14:textId="77777777">
      <w:pPr>
        <w:numPr>
          <w:ilvl w:val="0"/>
          <w:numId w:val="19"/>
        </w:numPr>
        <w:rPr>
          <w:rFonts w:cs="Arial"/>
          <w:color w:val="000000"/>
          <w:sz w:val="24"/>
          <w:szCs w:val="24"/>
        </w:rPr>
      </w:pPr>
      <w:r w:rsidRPr="00532434">
        <w:rPr>
          <w:rFonts w:cs="Arial"/>
          <w:color w:val="000000"/>
          <w:sz w:val="24"/>
          <w:szCs w:val="24"/>
        </w:rPr>
        <w:t>Police and Criminal Evidence Act 1984 (PACE)</w:t>
      </w:r>
    </w:p>
    <w:p w:rsidRPr="00532434" w:rsidR="009264E8" w:rsidP="009264E8" w:rsidRDefault="009264E8" w14:paraId="2CA65D0D" w14:textId="77777777">
      <w:pPr>
        <w:numPr>
          <w:ilvl w:val="0"/>
          <w:numId w:val="19"/>
        </w:numPr>
        <w:rPr>
          <w:rFonts w:cs="Arial"/>
          <w:color w:val="000000"/>
          <w:sz w:val="24"/>
          <w:szCs w:val="24"/>
        </w:rPr>
      </w:pPr>
      <w:r w:rsidRPr="00532434">
        <w:rPr>
          <w:rFonts w:cs="Arial"/>
          <w:color w:val="000000"/>
          <w:sz w:val="24"/>
          <w:szCs w:val="24"/>
        </w:rPr>
        <w:t>Criminal Procedure and Investigations Act 1996 (CPIA)</w:t>
      </w:r>
    </w:p>
    <w:p w:rsidRPr="00532434" w:rsidR="009264E8" w:rsidP="009264E8" w:rsidRDefault="009264E8" w14:paraId="054C9125" w14:textId="77777777">
      <w:pPr>
        <w:numPr>
          <w:ilvl w:val="0"/>
          <w:numId w:val="19"/>
        </w:numPr>
        <w:rPr>
          <w:rFonts w:cs="Arial"/>
          <w:color w:val="000000"/>
          <w:sz w:val="24"/>
          <w:szCs w:val="24"/>
        </w:rPr>
      </w:pPr>
      <w:r w:rsidRPr="00532434">
        <w:rPr>
          <w:rFonts w:cs="Arial"/>
          <w:color w:val="000000"/>
          <w:sz w:val="24"/>
          <w:szCs w:val="24"/>
        </w:rPr>
        <w:t>Regulation of Investigatory Powers Act 2000 (RIPA)</w:t>
      </w:r>
    </w:p>
    <w:p w:rsidRPr="00532434" w:rsidR="00B26052" w:rsidP="009264E8" w:rsidRDefault="00B26052" w14:paraId="6568EE9D" w14:textId="77777777">
      <w:pPr>
        <w:numPr>
          <w:ilvl w:val="0"/>
          <w:numId w:val="19"/>
        </w:numPr>
        <w:rPr>
          <w:rFonts w:cs="Arial"/>
          <w:color w:val="000000"/>
          <w:sz w:val="24"/>
          <w:szCs w:val="24"/>
        </w:rPr>
      </w:pPr>
      <w:r w:rsidRPr="00532434">
        <w:rPr>
          <w:rFonts w:cs="Arial"/>
          <w:color w:val="000000"/>
          <w:sz w:val="24"/>
          <w:szCs w:val="24"/>
        </w:rPr>
        <w:lastRenderedPageBreak/>
        <w:t xml:space="preserve">Investigatory Powers Act </w:t>
      </w:r>
      <w:r w:rsidRPr="00532434" w:rsidR="00A512D2">
        <w:rPr>
          <w:rFonts w:cs="Arial"/>
          <w:color w:val="000000"/>
          <w:sz w:val="24"/>
          <w:szCs w:val="24"/>
        </w:rPr>
        <w:t>2016</w:t>
      </w:r>
      <w:r w:rsidRPr="00532434" w:rsidR="005E1947">
        <w:rPr>
          <w:rFonts w:cs="Arial"/>
          <w:color w:val="000000"/>
          <w:sz w:val="24"/>
          <w:szCs w:val="24"/>
        </w:rPr>
        <w:t xml:space="preserve"> (IPA)</w:t>
      </w:r>
    </w:p>
    <w:p w:rsidRPr="00532434" w:rsidR="009264E8" w:rsidP="009264E8" w:rsidRDefault="009264E8" w14:paraId="0596E364" w14:textId="77777777">
      <w:pPr>
        <w:numPr>
          <w:ilvl w:val="0"/>
          <w:numId w:val="19"/>
        </w:numPr>
        <w:rPr>
          <w:rFonts w:cs="Arial"/>
          <w:color w:val="000000"/>
          <w:sz w:val="24"/>
          <w:szCs w:val="24"/>
        </w:rPr>
      </w:pPr>
      <w:r w:rsidRPr="00532434">
        <w:rPr>
          <w:rFonts w:cs="Arial"/>
          <w:sz w:val="24"/>
          <w:szCs w:val="24"/>
        </w:rPr>
        <w:t>the Criminal Justice and Police Act 2001 (CJPA)</w:t>
      </w:r>
    </w:p>
    <w:p w:rsidRPr="00532434" w:rsidR="009264E8" w:rsidP="009264E8" w:rsidRDefault="009264E8" w14:paraId="089E2B74" w14:textId="77777777">
      <w:pPr>
        <w:numPr>
          <w:ilvl w:val="0"/>
          <w:numId w:val="19"/>
        </w:numPr>
        <w:rPr>
          <w:rFonts w:cs="Arial"/>
          <w:color w:val="000000"/>
          <w:sz w:val="24"/>
          <w:szCs w:val="24"/>
        </w:rPr>
      </w:pPr>
      <w:r w:rsidRPr="00532434">
        <w:rPr>
          <w:rFonts w:cs="Arial"/>
          <w:color w:val="000000"/>
          <w:sz w:val="24"/>
          <w:szCs w:val="24"/>
        </w:rPr>
        <w:t>Human Rights Act 1998 (HRA).</w:t>
      </w:r>
    </w:p>
    <w:p w:rsidRPr="00532434" w:rsidR="009264E8" w:rsidP="009264E8" w:rsidRDefault="009264E8" w14:paraId="36F5B67E" w14:textId="77777777">
      <w:pPr>
        <w:rPr>
          <w:rFonts w:cs="Arial"/>
          <w:color w:val="000000"/>
          <w:sz w:val="24"/>
          <w:szCs w:val="24"/>
        </w:rPr>
      </w:pPr>
    </w:p>
    <w:p w:rsidRPr="00532434" w:rsidR="009264E8" w:rsidP="009264E8" w:rsidRDefault="009264E8" w14:paraId="0B66BFD7" w14:textId="77777777">
      <w:pPr>
        <w:numPr>
          <w:ilvl w:val="1"/>
          <w:numId w:val="22"/>
        </w:numPr>
        <w:spacing w:after="200"/>
        <w:jc w:val="both"/>
        <w:rPr>
          <w:rFonts w:cs="Arial"/>
          <w:color w:val="000000"/>
          <w:sz w:val="24"/>
          <w:szCs w:val="24"/>
        </w:rPr>
      </w:pPr>
      <w:r w:rsidRPr="00532434">
        <w:rPr>
          <w:rFonts w:cs="Arial"/>
          <w:color w:val="000000"/>
          <w:sz w:val="24"/>
          <w:szCs w:val="24"/>
        </w:rPr>
        <w:t>As part of any criminal investigation process, persons suspected of having committed a criminal offence will, wherever possible,</w:t>
      </w:r>
    </w:p>
    <w:p w:rsidRPr="00532434" w:rsidR="009264E8" w:rsidP="009264E8" w:rsidRDefault="009264E8" w14:paraId="7FDA5A31" w14:textId="77777777">
      <w:pPr>
        <w:numPr>
          <w:ilvl w:val="0"/>
          <w:numId w:val="20"/>
        </w:numPr>
        <w:rPr>
          <w:rFonts w:cs="Arial"/>
          <w:color w:val="000000"/>
          <w:sz w:val="24"/>
          <w:szCs w:val="24"/>
        </w:rPr>
      </w:pPr>
      <w:r w:rsidRPr="00532434">
        <w:rPr>
          <w:rFonts w:cs="Arial"/>
          <w:color w:val="000000"/>
          <w:sz w:val="24"/>
          <w:szCs w:val="24"/>
        </w:rPr>
        <w:t>be formally interviewed in accordance with PACE</w:t>
      </w:r>
    </w:p>
    <w:p w:rsidRPr="00532434" w:rsidR="009264E8" w:rsidP="009264E8" w:rsidRDefault="009264E8" w14:paraId="76C307C1" w14:textId="77777777">
      <w:pPr>
        <w:numPr>
          <w:ilvl w:val="0"/>
          <w:numId w:val="20"/>
        </w:numPr>
        <w:rPr>
          <w:rFonts w:cs="Arial"/>
          <w:color w:val="000000"/>
          <w:sz w:val="24"/>
          <w:szCs w:val="24"/>
        </w:rPr>
      </w:pPr>
      <w:r w:rsidRPr="00532434">
        <w:rPr>
          <w:rFonts w:cs="Arial"/>
          <w:color w:val="000000"/>
          <w:sz w:val="24"/>
          <w:szCs w:val="24"/>
        </w:rPr>
        <w:t>be given the opportunity to demonstrate a statutory defence</w:t>
      </w:r>
    </w:p>
    <w:p w:rsidRPr="00532434" w:rsidR="009264E8" w:rsidP="004148C2" w:rsidRDefault="009264E8" w14:paraId="330D5DFE" w14:textId="77777777">
      <w:pPr>
        <w:numPr>
          <w:ilvl w:val="0"/>
          <w:numId w:val="20"/>
        </w:numPr>
        <w:jc w:val="both"/>
        <w:rPr>
          <w:rFonts w:cs="Arial"/>
          <w:color w:val="000000"/>
          <w:sz w:val="24"/>
          <w:szCs w:val="24"/>
        </w:rPr>
      </w:pPr>
      <w:r w:rsidRPr="00532434">
        <w:rPr>
          <w:rFonts w:cs="Arial"/>
          <w:color w:val="000000"/>
          <w:sz w:val="24"/>
          <w:szCs w:val="24"/>
        </w:rPr>
        <w:t>have the opportunity to give an explanation or make any additional comments about the alleged breach</w:t>
      </w:r>
    </w:p>
    <w:p w:rsidRPr="00532434" w:rsidR="009264E8" w:rsidP="004148C2" w:rsidRDefault="009264E8" w14:paraId="22DB9BE3" w14:textId="6AC10E9C">
      <w:pPr>
        <w:numPr>
          <w:ilvl w:val="0"/>
          <w:numId w:val="20"/>
        </w:numPr>
        <w:jc w:val="both"/>
        <w:rPr>
          <w:rFonts w:cs="Arial"/>
          <w:color w:val="000000"/>
          <w:sz w:val="24"/>
          <w:szCs w:val="24"/>
        </w:rPr>
      </w:pPr>
      <w:r w:rsidRPr="00532434">
        <w:rPr>
          <w:rFonts w:cs="Arial"/>
          <w:color w:val="000000"/>
          <w:sz w:val="24"/>
          <w:szCs w:val="24"/>
        </w:rPr>
        <w:t xml:space="preserve">be offered translation/interpretation services </w:t>
      </w:r>
      <w:r w:rsidRPr="00532434" w:rsidR="00F56741">
        <w:rPr>
          <w:rFonts w:cs="Arial"/>
          <w:color w:val="000000"/>
          <w:sz w:val="24"/>
          <w:szCs w:val="24"/>
        </w:rPr>
        <w:t xml:space="preserve">(language and British Sign Language) </w:t>
      </w:r>
      <w:r w:rsidRPr="00532434">
        <w:rPr>
          <w:rFonts w:cs="Arial"/>
          <w:color w:val="000000"/>
          <w:sz w:val="24"/>
          <w:szCs w:val="24"/>
        </w:rPr>
        <w:t xml:space="preserve">where English is not their first </w:t>
      </w:r>
      <w:r w:rsidRPr="00532434" w:rsidR="00DE443D">
        <w:rPr>
          <w:rFonts w:cs="Arial"/>
          <w:color w:val="000000"/>
          <w:sz w:val="24"/>
          <w:szCs w:val="24"/>
        </w:rPr>
        <w:t xml:space="preserve">language </w:t>
      </w:r>
    </w:p>
    <w:p w:rsidRPr="00532434" w:rsidR="009264E8" w:rsidP="009264E8" w:rsidRDefault="009264E8" w14:paraId="5DF8194C" w14:textId="77777777">
      <w:pPr>
        <w:ind w:left="720"/>
        <w:rPr>
          <w:rFonts w:cs="Arial"/>
          <w:color w:val="000000"/>
          <w:sz w:val="24"/>
          <w:szCs w:val="24"/>
        </w:rPr>
      </w:pPr>
    </w:p>
    <w:p w:rsidRPr="00532434" w:rsidR="009264E8" w:rsidP="009264E8" w:rsidRDefault="00670FF4" w14:paraId="11EF5D8A" w14:textId="77777777">
      <w:pPr>
        <w:numPr>
          <w:ilvl w:val="1"/>
          <w:numId w:val="22"/>
        </w:numPr>
        <w:spacing w:after="200"/>
        <w:jc w:val="both"/>
        <w:rPr>
          <w:rFonts w:cs="Arial"/>
          <w:color w:val="000000"/>
          <w:sz w:val="24"/>
          <w:szCs w:val="24"/>
        </w:rPr>
      </w:pPr>
      <w:r w:rsidRPr="00532434">
        <w:rPr>
          <w:rFonts w:cs="Arial"/>
          <w:color w:val="000000"/>
          <w:sz w:val="24"/>
          <w:szCs w:val="24"/>
        </w:rPr>
        <w:t>As part of our enforcement function we may exercise a</w:t>
      </w:r>
      <w:r w:rsidRPr="00532434" w:rsidR="009264E8">
        <w:rPr>
          <w:rFonts w:cs="Arial"/>
          <w:color w:val="000000"/>
          <w:sz w:val="24"/>
          <w:szCs w:val="24"/>
        </w:rPr>
        <w:t xml:space="preserve"> wide variety of powers, including the power to enter premises and inspect goods, to require the production of documents or records and, when necessary, the power to seize and detain such material where they believe it may be required as evidence.</w:t>
      </w:r>
    </w:p>
    <w:p w:rsidRPr="00532434" w:rsidR="009264E8" w:rsidP="009264E8" w:rsidRDefault="00670FF4" w14:paraId="26E44450" w14:textId="00FD702C">
      <w:pPr>
        <w:numPr>
          <w:ilvl w:val="1"/>
          <w:numId w:val="22"/>
        </w:numPr>
        <w:spacing w:after="200"/>
        <w:jc w:val="both"/>
        <w:rPr>
          <w:rFonts w:cs="Arial"/>
          <w:color w:val="000000"/>
          <w:sz w:val="24"/>
          <w:szCs w:val="24"/>
        </w:rPr>
      </w:pPr>
      <w:r w:rsidRPr="2D1CDE2C">
        <w:rPr>
          <w:rFonts w:eastAsia="Arial" w:cs="Arial"/>
          <w:sz w:val="24"/>
          <w:szCs w:val="24"/>
        </w:rPr>
        <w:t xml:space="preserve">We </w:t>
      </w:r>
      <w:r w:rsidRPr="2D1CDE2C" w:rsidR="009264E8">
        <w:rPr>
          <w:rFonts w:eastAsia="Arial" w:cs="Arial"/>
          <w:sz w:val="24"/>
          <w:szCs w:val="24"/>
        </w:rPr>
        <w:t xml:space="preserve">may also take </w:t>
      </w:r>
      <w:r w:rsidRPr="2D1CDE2C">
        <w:rPr>
          <w:rFonts w:eastAsia="Arial" w:cs="Arial"/>
          <w:sz w:val="24"/>
          <w:szCs w:val="24"/>
        </w:rPr>
        <w:t xml:space="preserve">with us </w:t>
      </w:r>
      <w:r w:rsidRPr="2D1CDE2C" w:rsidR="009264E8">
        <w:rPr>
          <w:rFonts w:eastAsia="Arial" w:cs="Arial"/>
          <w:sz w:val="24"/>
          <w:szCs w:val="24"/>
        </w:rPr>
        <w:t xml:space="preserve">such other persons as may be necessary as part of </w:t>
      </w:r>
      <w:r w:rsidRPr="2D1CDE2C">
        <w:rPr>
          <w:rFonts w:eastAsia="Arial" w:cs="Arial"/>
          <w:sz w:val="24"/>
          <w:szCs w:val="24"/>
        </w:rPr>
        <w:t xml:space="preserve">our enforcement function. </w:t>
      </w:r>
      <w:r w:rsidRPr="2D1CDE2C" w:rsidR="009264E8">
        <w:rPr>
          <w:rFonts w:eastAsia="Arial" w:cs="Arial"/>
          <w:sz w:val="24"/>
          <w:szCs w:val="24"/>
        </w:rPr>
        <w:t>This may include Police Officers where there is the possibility of an arrest</w:t>
      </w:r>
      <w:r w:rsidRPr="2D1CDE2C" w:rsidR="5A4A0D0B">
        <w:rPr>
          <w:rFonts w:eastAsia="Arial" w:cs="Arial"/>
          <w:sz w:val="24"/>
          <w:szCs w:val="24"/>
        </w:rPr>
        <w:t>, or a breach of the peace situation.</w:t>
      </w:r>
      <w:r w:rsidRPr="2D1CDE2C" w:rsidR="009264E8">
        <w:rPr>
          <w:rFonts w:eastAsia="Arial" w:cs="Arial"/>
          <w:sz w:val="24"/>
          <w:szCs w:val="24"/>
        </w:rPr>
        <w:t xml:space="preserve"> In certain cases, </w:t>
      </w:r>
      <w:r w:rsidRPr="2D1CDE2C">
        <w:rPr>
          <w:rFonts w:eastAsia="Arial" w:cs="Arial"/>
          <w:sz w:val="24"/>
          <w:szCs w:val="24"/>
        </w:rPr>
        <w:t xml:space="preserve">we </w:t>
      </w:r>
      <w:r w:rsidRPr="2D1CDE2C" w:rsidR="009264E8">
        <w:rPr>
          <w:rFonts w:eastAsia="Arial" w:cs="Arial"/>
          <w:sz w:val="24"/>
          <w:szCs w:val="24"/>
        </w:rPr>
        <w:t xml:space="preserve">may exercise an entry warrant issued by a </w:t>
      </w:r>
      <w:r w:rsidRPr="2D1CDE2C" w:rsidR="00111E81">
        <w:rPr>
          <w:rFonts w:eastAsia="Arial" w:cs="Arial"/>
          <w:sz w:val="24"/>
          <w:szCs w:val="24"/>
        </w:rPr>
        <w:t xml:space="preserve">Justice of </w:t>
      </w:r>
      <w:r w:rsidRPr="2D1CDE2C" w:rsidR="00DA7667">
        <w:rPr>
          <w:rFonts w:eastAsia="Arial" w:cs="Arial"/>
          <w:sz w:val="24"/>
          <w:szCs w:val="24"/>
        </w:rPr>
        <w:t>T</w:t>
      </w:r>
      <w:r w:rsidRPr="2D1CDE2C" w:rsidR="00111E81">
        <w:rPr>
          <w:rFonts w:eastAsia="Arial" w:cs="Arial"/>
          <w:sz w:val="24"/>
          <w:szCs w:val="24"/>
        </w:rPr>
        <w:t xml:space="preserve">he Peace </w:t>
      </w:r>
      <w:r w:rsidRPr="2D1CDE2C" w:rsidR="009264E8">
        <w:rPr>
          <w:rFonts w:eastAsia="Arial" w:cs="Arial"/>
          <w:sz w:val="24"/>
          <w:szCs w:val="24"/>
        </w:rPr>
        <w:t>in</w:t>
      </w:r>
      <w:r w:rsidRPr="2D1CDE2C" w:rsidR="0070655A">
        <w:rPr>
          <w:rFonts w:eastAsia="Arial" w:cs="Arial"/>
          <w:sz w:val="24"/>
          <w:szCs w:val="24"/>
        </w:rPr>
        <w:t xml:space="preserve"> </w:t>
      </w:r>
      <w:r w:rsidRPr="2D1CDE2C" w:rsidR="009264E8">
        <w:rPr>
          <w:rFonts w:eastAsia="Arial" w:cs="Arial"/>
          <w:sz w:val="24"/>
          <w:szCs w:val="24"/>
        </w:rPr>
        <w:t>order to gain access to premises</w:t>
      </w:r>
      <w:r w:rsidRPr="2D1CDE2C" w:rsidR="06FCB9D9">
        <w:rPr>
          <w:rFonts w:eastAsia="Arial" w:cs="Arial"/>
          <w:sz w:val="24"/>
          <w:szCs w:val="24"/>
        </w:rPr>
        <w:t xml:space="preserve"> and may use police assistance to effect entry.</w:t>
      </w:r>
    </w:p>
    <w:p w:rsidRPr="00532434" w:rsidR="001D46E4" w:rsidP="009264E8" w:rsidRDefault="009264E8" w14:paraId="1E1D67FD" w14:textId="407EBCBE">
      <w:pPr>
        <w:numPr>
          <w:ilvl w:val="1"/>
          <w:numId w:val="22"/>
        </w:numPr>
        <w:spacing w:after="200"/>
        <w:jc w:val="both"/>
        <w:rPr>
          <w:rFonts w:cs="Arial"/>
          <w:color w:val="000000"/>
          <w:sz w:val="24"/>
          <w:szCs w:val="24"/>
        </w:rPr>
      </w:pPr>
      <w:r w:rsidRPr="2D1CDE2C">
        <w:rPr>
          <w:rFonts w:cs="Arial"/>
          <w:color w:val="000000" w:themeColor="text1"/>
          <w:sz w:val="24"/>
          <w:szCs w:val="24"/>
        </w:rPr>
        <w:t xml:space="preserve">We may also use investigation equipment </w:t>
      </w:r>
      <w:r w:rsidRPr="2D1CDE2C" w:rsidR="006E5E8F">
        <w:rPr>
          <w:rFonts w:cs="Arial"/>
          <w:color w:val="000000" w:themeColor="text1"/>
          <w:sz w:val="24"/>
          <w:szCs w:val="24"/>
        </w:rPr>
        <w:t>whilst undertaking</w:t>
      </w:r>
      <w:r w:rsidRPr="2D1CDE2C">
        <w:rPr>
          <w:rFonts w:cs="Arial"/>
          <w:color w:val="000000" w:themeColor="text1"/>
          <w:sz w:val="24"/>
          <w:szCs w:val="24"/>
        </w:rPr>
        <w:t xml:space="preserve"> our</w:t>
      </w:r>
      <w:r w:rsidRPr="2D1CDE2C">
        <w:rPr>
          <w:rFonts w:cs="Arial"/>
          <w:strike/>
          <w:color w:val="000000" w:themeColor="text1"/>
          <w:sz w:val="24"/>
          <w:szCs w:val="24"/>
        </w:rPr>
        <w:t xml:space="preserve"> </w:t>
      </w:r>
      <w:r w:rsidRPr="2D1CDE2C">
        <w:rPr>
          <w:rFonts w:cs="Arial"/>
          <w:color w:val="000000" w:themeColor="text1"/>
          <w:sz w:val="24"/>
          <w:szCs w:val="24"/>
        </w:rPr>
        <w:t xml:space="preserve">duties, including </w:t>
      </w:r>
      <w:r w:rsidRPr="2D1CDE2C" w:rsidR="00957609">
        <w:rPr>
          <w:rFonts w:cs="Arial"/>
          <w:color w:val="000000" w:themeColor="text1"/>
          <w:sz w:val="24"/>
          <w:szCs w:val="24"/>
        </w:rPr>
        <w:t>handheld</w:t>
      </w:r>
      <w:r w:rsidRPr="2D1CDE2C">
        <w:rPr>
          <w:rFonts w:cs="Arial"/>
          <w:color w:val="000000" w:themeColor="text1"/>
          <w:sz w:val="24"/>
          <w:szCs w:val="24"/>
        </w:rPr>
        <w:t xml:space="preserve"> and Body-Worn Video (BWV) cameras. BWV devices are capable of recording both visual and audio information and can provide a number of benefits to enforcement agencies, including a deterrent to aggressive, </w:t>
      </w:r>
      <w:r w:rsidRPr="2D1CDE2C" w:rsidR="00957609">
        <w:rPr>
          <w:rFonts w:cs="Arial"/>
          <w:color w:val="000000" w:themeColor="text1"/>
          <w:sz w:val="24"/>
          <w:szCs w:val="24"/>
        </w:rPr>
        <w:t>verbal,</w:t>
      </w:r>
      <w:r w:rsidRPr="2D1CDE2C">
        <w:rPr>
          <w:rFonts w:cs="Arial"/>
          <w:color w:val="000000" w:themeColor="text1"/>
          <w:sz w:val="24"/>
          <w:szCs w:val="24"/>
        </w:rPr>
        <w:t xml:space="preserve"> and physical abuse towards officers, and in providing additional evidence to support investigations. BWV will usually be deployed on an overt basis for a specific purpose, and where it is necessary and proportionate to do so. Any decision to deploy BWV</w:t>
      </w:r>
      <w:r w:rsidRPr="2D1CDE2C" w:rsidR="00F00F07">
        <w:rPr>
          <w:rFonts w:cs="Arial"/>
          <w:color w:val="000000" w:themeColor="text1"/>
          <w:sz w:val="24"/>
          <w:szCs w:val="24"/>
        </w:rPr>
        <w:t xml:space="preserve"> or other investigation equipment </w:t>
      </w:r>
      <w:r w:rsidRPr="2D1CDE2C">
        <w:rPr>
          <w:rFonts w:cs="Arial"/>
          <w:color w:val="000000" w:themeColor="text1"/>
          <w:sz w:val="24"/>
          <w:szCs w:val="24"/>
        </w:rPr>
        <w:t>on a covert basis will be made in accordance with the Regulation of Investigatory Powers Act (RIPA), related legislation, Codes of Practice and associated Council Policy.</w:t>
      </w:r>
    </w:p>
    <w:p w:rsidRPr="00532434" w:rsidR="00624464" w:rsidP="00F35828" w:rsidRDefault="00031A4F" w14:paraId="692B0DDA" w14:textId="77777777">
      <w:pPr>
        <w:numPr>
          <w:ilvl w:val="1"/>
          <w:numId w:val="22"/>
        </w:numPr>
        <w:rPr>
          <w:rFonts w:cs="Arial"/>
          <w:b/>
          <w:sz w:val="24"/>
          <w:szCs w:val="24"/>
        </w:rPr>
      </w:pPr>
      <w:r w:rsidRPr="2D1CDE2C">
        <w:rPr>
          <w:rFonts w:cs="Arial"/>
          <w:b/>
          <w:bCs/>
          <w:sz w:val="24"/>
          <w:szCs w:val="24"/>
        </w:rPr>
        <w:t xml:space="preserve">Immediate </w:t>
      </w:r>
      <w:r w:rsidRPr="2D1CDE2C" w:rsidR="00624464">
        <w:rPr>
          <w:rFonts w:cs="Arial"/>
          <w:b/>
          <w:bCs/>
          <w:sz w:val="24"/>
          <w:szCs w:val="24"/>
        </w:rPr>
        <w:t>Formal Action</w:t>
      </w:r>
    </w:p>
    <w:p w:rsidRPr="00532434" w:rsidR="00624464" w:rsidP="00624464" w:rsidRDefault="00624464" w14:paraId="33BF6632" w14:textId="77777777">
      <w:pPr>
        <w:rPr>
          <w:rFonts w:cs="Arial"/>
          <w:sz w:val="24"/>
          <w:szCs w:val="24"/>
        </w:rPr>
      </w:pPr>
    </w:p>
    <w:p w:rsidRPr="00532434" w:rsidR="005F19F2" w:rsidP="005F19F2" w:rsidRDefault="009264E8" w14:paraId="50C06B9F" w14:textId="42253C8E">
      <w:pPr>
        <w:pStyle w:val="Default"/>
        <w:widowControl/>
        <w:numPr>
          <w:ilvl w:val="2"/>
          <w:numId w:val="22"/>
        </w:numPr>
        <w:spacing w:after="120"/>
        <w:jc w:val="both"/>
        <w:rPr>
          <w:color w:val="FF0000"/>
        </w:rPr>
      </w:pPr>
      <w:r>
        <w:t xml:space="preserve">Whilst recognising that most people want to comply with legal requirements, we also recognise that some will operate outside the law (both intentionally and unintentionally). Where possible, a staged approach to enforcement will be adopted, with advice and informal action explored to </w:t>
      </w:r>
      <w:r w:rsidR="003F466C">
        <w:t>achieve compliance</w:t>
      </w:r>
      <w:r>
        <w:t xml:space="preserve"> in the first instance.</w:t>
      </w:r>
      <w:r w:rsidR="00025334">
        <w:t xml:space="preserve"> However,</w:t>
      </w:r>
      <w:r w:rsidR="00643DED">
        <w:t xml:space="preserve"> we </w:t>
      </w:r>
      <w:r w:rsidR="00624464">
        <w:t xml:space="preserve">will consider taking </w:t>
      </w:r>
      <w:r w:rsidR="00031A4F">
        <w:t xml:space="preserve">immediate </w:t>
      </w:r>
      <w:r w:rsidR="00624464">
        <w:t>formal action for</w:t>
      </w:r>
      <w:r w:rsidR="007C772F">
        <w:t xml:space="preserve"> the most</w:t>
      </w:r>
      <w:r w:rsidR="00624464">
        <w:t xml:space="preserve"> serious breaches,</w:t>
      </w:r>
      <w:r w:rsidR="00025334">
        <w:t xml:space="preserve"> </w:t>
      </w:r>
      <w:r w:rsidR="00624464">
        <w:t>includ</w:t>
      </w:r>
      <w:r w:rsidR="00025334">
        <w:t>ing</w:t>
      </w:r>
      <w:r w:rsidR="00624464">
        <w:t xml:space="preserve"> any of the following circumstances:</w:t>
      </w:r>
    </w:p>
    <w:p w:rsidRPr="00532434" w:rsidR="005F19F2" w:rsidP="00CB0362" w:rsidRDefault="003D28EC" w14:paraId="00ED9C57" w14:textId="591B999E">
      <w:pPr>
        <w:numPr>
          <w:ilvl w:val="0"/>
          <w:numId w:val="13"/>
        </w:numPr>
        <w:jc w:val="both"/>
        <w:rPr>
          <w:rFonts w:cs="Arial"/>
          <w:color w:val="000000"/>
          <w:sz w:val="24"/>
          <w:szCs w:val="24"/>
        </w:rPr>
      </w:pPr>
      <w:r w:rsidRPr="00532434">
        <w:rPr>
          <w:rFonts w:cs="Arial"/>
          <w:sz w:val="24"/>
          <w:szCs w:val="24"/>
        </w:rPr>
        <w:t>Where</w:t>
      </w:r>
      <w:r w:rsidRPr="00532434" w:rsidR="008822BD">
        <w:rPr>
          <w:rFonts w:cs="Arial"/>
          <w:sz w:val="24"/>
          <w:szCs w:val="24"/>
        </w:rPr>
        <w:t xml:space="preserve"> the infringement causes or is likely to cause </w:t>
      </w:r>
      <w:r w:rsidRPr="00532434">
        <w:rPr>
          <w:rFonts w:cs="Arial"/>
          <w:sz w:val="24"/>
          <w:szCs w:val="24"/>
        </w:rPr>
        <w:t>a</w:t>
      </w:r>
      <w:r w:rsidRPr="00532434" w:rsidR="005F19F2">
        <w:rPr>
          <w:rFonts w:cs="Arial"/>
          <w:sz w:val="24"/>
          <w:szCs w:val="24"/>
        </w:rPr>
        <w:t>ctual or emotional damag</w:t>
      </w:r>
      <w:r w:rsidRPr="00532434" w:rsidR="008822BD">
        <w:rPr>
          <w:rFonts w:cs="Arial"/>
          <w:sz w:val="24"/>
          <w:szCs w:val="24"/>
        </w:rPr>
        <w:t>e, or</w:t>
      </w:r>
      <w:r w:rsidRPr="00532434" w:rsidR="000E4B8D">
        <w:rPr>
          <w:rFonts w:cs="Arial"/>
          <w:sz w:val="24"/>
          <w:szCs w:val="24"/>
        </w:rPr>
        <w:t xml:space="preserve"> </w:t>
      </w:r>
      <w:r w:rsidRPr="00532434" w:rsidR="00A512D2">
        <w:rPr>
          <w:rFonts w:cs="Arial"/>
          <w:sz w:val="24"/>
          <w:szCs w:val="24"/>
        </w:rPr>
        <w:t xml:space="preserve">substantial </w:t>
      </w:r>
      <w:r w:rsidRPr="00532434" w:rsidR="005F19F2">
        <w:rPr>
          <w:rFonts w:cs="Arial"/>
          <w:sz w:val="24"/>
          <w:szCs w:val="24"/>
        </w:rPr>
        <w:t xml:space="preserve">loss or prejudice to people, </w:t>
      </w:r>
      <w:r w:rsidRPr="00532434" w:rsidR="00957609">
        <w:rPr>
          <w:rFonts w:cs="Arial"/>
          <w:sz w:val="24"/>
          <w:szCs w:val="24"/>
        </w:rPr>
        <w:t>businesses,</w:t>
      </w:r>
      <w:r w:rsidRPr="00532434" w:rsidR="005F19F2">
        <w:rPr>
          <w:rFonts w:cs="Arial"/>
          <w:sz w:val="24"/>
          <w:szCs w:val="24"/>
        </w:rPr>
        <w:t xml:space="preserve"> or other organisations</w:t>
      </w:r>
    </w:p>
    <w:p w:rsidRPr="00532434" w:rsidR="005F19F2" w:rsidP="00CB0362" w:rsidRDefault="005F19F2" w14:paraId="36936676" w14:textId="12E11F03">
      <w:pPr>
        <w:numPr>
          <w:ilvl w:val="0"/>
          <w:numId w:val="13"/>
        </w:numPr>
        <w:jc w:val="both"/>
        <w:rPr>
          <w:rFonts w:cs="Arial"/>
          <w:color w:val="000000"/>
          <w:sz w:val="24"/>
          <w:szCs w:val="24"/>
        </w:rPr>
      </w:pPr>
      <w:r w:rsidRPr="00532434">
        <w:rPr>
          <w:rFonts w:cs="Arial"/>
          <w:color w:val="000000"/>
          <w:sz w:val="24"/>
          <w:szCs w:val="24"/>
        </w:rPr>
        <w:t xml:space="preserve">Where there is a significant risk to public health, safety or wellbeing, or damage to property, </w:t>
      </w:r>
      <w:r w:rsidRPr="00532434" w:rsidR="00957609">
        <w:rPr>
          <w:rFonts w:cs="Arial"/>
          <w:color w:val="000000"/>
          <w:sz w:val="24"/>
          <w:szCs w:val="24"/>
        </w:rPr>
        <w:t>infrastructure,</w:t>
      </w:r>
      <w:r w:rsidRPr="00532434">
        <w:rPr>
          <w:rFonts w:cs="Arial"/>
          <w:color w:val="000000"/>
          <w:sz w:val="24"/>
          <w:szCs w:val="24"/>
        </w:rPr>
        <w:t xml:space="preserve"> or the environment. </w:t>
      </w:r>
    </w:p>
    <w:p w:rsidRPr="00532434" w:rsidR="00624464" w:rsidP="00CB0362" w:rsidRDefault="00624464" w14:paraId="4FCE80D4" w14:textId="0D1D0FBA">
      <w:pPr>
        <w:numPr>
          <w:ilvl w:val="0"/>
          <w:numId w:val="13"/>
        </w:numPr>
        <w:jc w:val="both"/>
        <w:rPr>
          <w:rFonts w:cs="Arial"/>
          <w:color w:val="000000"/>
          <w:sz w:val="24"/>
          <w:szCs w:val="24"/>
        </w:rPr>
      </w:pPr>
      <w:r w:rsidRPr="00532434">
        <w:rPr>
          <w:rFonts w:cs="Arial"/>
          <w:color w:val="000000"/>
          <w:sz w:val="24"/>
          <w:szCs w:val="24"/>
        </w:rPr>
        <w:lastRenderedPageBreak/>
        <w:t>Fraud</w:t>
      </w:r>
      <w:r w:rsidRPr="00532434" w:rsidR="003746E4">
        <w:rPr>
          <w:rFonts w:cs="Arial"/>
          <w:color w:val="000000"/>
          <w:sz w:val="24"/>
          <w:szCs w:val="24"/>
        </w:rPr>
        <w:t>, aggressive</w:t>
      </w:r>
      <w:r w:rsidRPr="00532434" w:rsidR="005628A0">
        <w:rPr>
          <w:rFonts w:cs="Arial"/>
          <w:color w:val="000000"/>
          <w:sz w:val="24"/>
          <w:szCs w:val="24"/>
        </w:rPr>
        <w:t xml:space="preserve"> or </w:t>
      </w:r>
      <w:r w:rsidRPr="00532434">
        <w:rPr>
          <w:rFonts w:cs="Arial"/>
          <w:color w:val="000000"/>
          <w:sz w:val="24"/>
          <w:szCs w:val="24"/>
        </w:rPr>
        <w:t>misleading practi</w:t>
      </w:r>
      <w:r w:rsidRPr="00532434" w:rsidR="004C5776">
        <w:rPr>
          <w:rFonts w:cs="Arial"/>
          <w:color w:val="000000"/>
          <w:sz w:val="24"/>
          <w:szCs w:val="24"/>
        </w:rPr>
        <w:t>ces</w:t>
      </w:r>
      <w:r w:rsidRPr="00532434" w:rsidR="00097E6E">
        <w:rPr>
          <w:rFonts w:cs="Arial"/>
          <w:color w:val="000000"/>
          <w:sz w:val="24"/>
          <w:szCs w:val="24"/>
        </w:rPr>
        <w:t>/equipment</w:t>
      </w:r>
      <w:r w:rsidRPr="00532434" w:rsidR="004C5776">
        <w:rPr>
          <w:rFonts w:cs="Arial"/>
          <w:color w:val="000000"/>
          <w:sz w:val="24"/>
          <w:szCs w:val="24"/>
        </w:rPr>
        <w:t xml:space="preserve">, </w:t>
      </w:r>
      <w:r w:rsidRPr="00532434" w:rsidR="00FB3E5C">
        <w:rPr>
          <w:rFonts w:cs="Arial"/>
          <w:color w:val="000000"/>
          <w:sz w:val="24"/>
          <w:szCs w:val="24"/>
        </w:rPr>
        <w:t>or practices</w:t>
      </w:r>
      <w:r w:rsidRPr="00532434" w:rsidR="004C5776">
        <w:rPr>
          <w:rFonts w:cs="Arial"/>
          <w:color w:val="000000"/>
          <w:sz w:val="24"/>
          <w:szCs w:val="24"/>
        </w:rPr>
        <w:t xml:space="preserve"> </w:t>
      </w:r>
      <w:r w:rsidRPr="00532434" w:rsidR="00562E65">
        <w:rPr>
          <w:rFonts w:cs="Arial"/>
          <w:color w:val="000000"/>
          <w:sz w:val="24"/>
          <w:szCs w:val="24"/>
        </w:rPr>
        <w:t>seeking an unfair ‘competitive advantage’</w:t>
      </w:r>
      <w:r w:rsidRPr="00532434" w:rsidR="00202A83">
        <w:rPr>
          <w:rFonts w:cs="Arial"/>
          <w:color w:val="000000"/>
          <w:sz w:val="24"/>
          <w:szCs w:val="24"/>
        </w:rPr>
        <w:t>.</w:t>
      </w:r>
    </w:p>
    <w:p w:rsidRPr="00532434" w:rsidR="0040162B" w:rsidP="00CB0362" w:rsidRDefault="00562E65" w14:paraId="403120A7" w14:textId="77777777">
      <w:pPr>
        <w:numPr>
          <w:ilvl w:val="0"/>
          <w:numId w:val="13"/>
        </w:numPr>
        <w:jc w:val="both"/>
        <w:rPr>
          <w:rFonts w:cs="Arial"/>
          <w:color w:val="000000"/>
          <w:sz w:val="24"/>
          <w:szCs w:val="24"/>
        </w:rPr>
      </w:pPr>
      <w:r w:rsidRPr="00532434">
        <w:rPr>
          <w:rFonts w:cs="Arial"/>
          <w:color w:val="000000"/>
          <w:sz w:val="24"/>
          <w:szCs w:val="24"/>
        </w:rPr>
        <w:t>Illegal practices targeted at</w:t>
      </w:r>
      <w:r w:rsidRPr="00532434" w:rsidR="005F19F2">
        <w:rPr>
          <w:rFonts w:cs="Arial"/>
          <w:color w:val="000000"/>
          <w:sz w:val="24"/>
          <w:szCs w:val="24"/>
        </w:rPr>
        <w:t xml:space="preserve"> vulnerable people, including young people and the elderly</w:t>
      </w:r>
      <w:r w:rsidRPr="00532434" w:rsidR="001C06D4">
        <w:rPr>
          <w:rFonts w:cs="Arial"/>
          <w:color w:val="000000"/>
          <w:sz w:val="24"/>
          <w:szCs w:val="24"/>
        </w:rPr>
        <w:t>.</w:t>
      </w:r>
    </w:p>
    <w:p w:rsidRPr="00532434" w:rsidR="00624464" w:rsidP="00CB0362" w:rsidRDefault="005F19F2" w14:paraId="37BE8621" w14:textId="77777777">
      <w:pPr>
        <w:numPr>
          <w:ilvl w:val="0"/>
          <w:numId w:val="13"/>
        </w:numPr>
        <w:jc w:val="both"/>
        <w:rPr>
          <w:rFonts w:cs="Arial"/>
          <w:color w:val="000000"/>
          <w:sz w:val="24"/>
          <w:szCs w:val="24"/>
        </w:rPr>
      </w:pPr>
      <w:r w:rsidRPr="00532434">
        <w:rPr>
          <w:rFonts w:cs="Arial"/>
          <w:color w:val="000000"/>
          <w:sz w:val="24"/>
          <w:szCs w:val="24"/>
        </w:rPr>
        <w:t>For matters where there has been recklessness or negligence, or a</w:t>
      </w:r>
      <w:r w:rsidRPr="00532434" w:rsidR="00624464">
        <w:rPr>
          <w:rFonts w:cs="Arial"/>
          <w:color w:val="000000"/>
          <w:sz w:val="24"/>
          <w:szCs w:val="24"/>
        </w:rPr>
        <w:t xml:space="preserve"> deliberate or persistent failure to comply with advice, warnings or </w:t>
      </w:r>
      <w:r w:rsidRPr="00532434" w:rsidR="00A55682">
        <w:rPr>
          <w:rFonts w:cs="Arial"/>
          <w:color w:val="000000"/>
          <w:sz w:val="24"/>
          <w:szCs w:val="24"/>
        </w:rPr>
        <w:t xml:space="preserve">other enforcement action. </w:t>
      </w:r>
    </w:p>
    <w:p w:rsidRPr="00532434" w:rsidR="002432DF" w:rsidP="00CB0362" w:rsidRDefault="002432DF" w14:paraId="232C6333" w14:textId="77777777">
      <w:pPr>
        <w:pStyle w:val="ListParagraph"/>
        <w:numPr>
          <w:ilvl w:val="0"/>
          <w:numId w:val="13"/>
        </w:numPr>
        <w:spacing w:after="0" w:line="240" w:lineRule="auto"/>
        <w:contextualSpacing w:val="0"/>
        <w:jc w:val="both"/>
        <w:rPr>
          <w:rFonts w:ascii="Arial" w:hAnsi="Arial" w:cs="Arial"/>
          <w:color w:val="000000"/>
          <w:sz w:val="24"/>
          <w:szCs w:val="24"/>
        </w:rPr>
      </w:pPr>
      <w:r w:rsidRPr="00532434">
        <w:rPr>
          <w:rFonts w:ascii="Arial" w:hAnsi="Arial" w:cs="Arial"/>
          <w:sz w:val="24"/>
          <w:szCs w:val="24"/>
        </w:rPr>
        <w:t>Where food fails food safety requirements</w:t>
      </w:r>
      <w:r w:rsidRPr="00532434" w:rsidR="00670EDF">
        <w:rPr>
          <w:rFonts w:ascii="Arial" w:hAnsi="Arial" w:cs="Arial"/>
          <w:sz w:val="24"/>
          <w:szCs w:val="24"/>
        </w:rPr>
        <w:t>.</w:t>
      </w:r>
    </w:p>
    <w:p w:rsidRPr="00532434" w:rsidR="00217EA8" w:rsidP="00CB0362" w:rsidRDefault="00217EA8" w14:paraId="78E672BE" w14:textId="77777777">
      <w:pPr>
        <w:numPr>
          <w:ilvl w:val="0"/>
          <w:numId w:val="13"/>
        </w:numPr>
        <w:jc w:val="both"/>
        <w:rPr>
          <w:rFonts w:cs="Arial"/>
          <w:color w:val="000000"/>
          <w:sz w:val="24"/>
          <w:szCs w:val="24"/>
        </w:rPr>
      </w:pPr>
      <w:r w:rsidRPr="00532434">
        <w:rPr>
          <w:rFonts w:cs="Arial"/>
          <w:color w:val="000000"/>
          <w:sz w:val="24"/>
          <w:szCs w:val="24"/>
        </w:rPr>
        <w:t>Any act likely to affect animal health or welfare, disease prevention measures, or the integrity of the food chain.</w:t>
      </w:r>
    </w:p>
    <w:p w:rsidRPr="00532434" w:rsidR="00624464" w:rsidP="00CB0362" w:rsidRDefault="00624464" w14:paraId="3BCCCD59" w14:textId="77777777">
      <w:pPr>
        <w:numPr>
          <w:ilvl w:val="0"/>
          <w:numId w:val="13"/>
        </w:numPr>
        <w:jc w:val="both"/>
        <w:rPr>
          <w:rFonts w:cs="Arial"/>
          <w:color w:val="000000"/>
          <w:sz w:val="24"/>
          <w:szCs w:val="24"/>
        </w:rPr>
      </w:pPr>
      <w:r w:rsidRPr="00532434">
        <w:rPr>
          <w:rFonts w:cs="Arial"/>
          <w:color w:val="000000"/>
          <w:sz w:val="24"/>
          <w:szCs w:val="24"/>
        </w:rPr>
        <w:t>Obstruction or assault (including verbal assault) of an officer in the execution of their duties.</w:t>
      </w:r>
    </w:p>
    <w:p w:rsidRPr="00532434" w:rsidR="009264E8" w:rsidP="009264E8" w:rsidRDefault="009264E8" w14:paraId="3AEE9F95" w14:textId="77777777">
      <w:pPr>
        <w:ind w:left="1080"/>
        <w:rPr>
          <w:rFonts w:cs="Arial"/>
          <w:color w:val="000000"/>
          <w:sz w:val="24"/>
          <w:szCs w:val="24"/>
        </w:rPr>
      </w:pPr>
    </w:p>
    <w:p w:rsidRPr="00532434" w:rsidR="00E04929" w:rsidP="0026240E" w:rsidRDefault="00E04929" w14:paraId="6F6CDF35" w14:textId="77777777">
      <w:pPr>
        <w:numPr>
          <w:ilvl w:val="1"/>
          <w:numId w:val="22"/>
        </w:numPr>
        <w:rPr>
          <w:rFonts w:cs="Arial"/>
          <w:b/>
          <w:color w:val="000000"/>
          <w:sz w:val="24"/>
          <w:szCs w:val="24"/>
        </w:rPr>
      </w:pPr>
      <w:r w:rsidRPr="2D1CDE2C">
        <w:rPr>
          <w:rFonts w:cs="Arial"/>
          <w:b/>
          <w:bCs/>
          <w:sz w:val="24"/>
          <w:szCs w:val="24"/>
        </w:rPr>
        <w:t>Advice, Guidance and Support</w:t>
      </w:r>
    </w:p>
    <w:p w:rsidRPr="00532434" w:rsidR="00624464" w:rsidP="00624464" w:rsidRDefault="00624464" w14:paraId="3EBBEA6B" w14:textId="77777777">
      <w:pPr>
        <w:rPr>
          <w:rFonts w:cs="Arial"/>
          <w:b/>
          <w:color w:val="000000"/>
          <w:sz w:val="24"/>
          <w:szCs w:val="24"/>
        </w:rPr>
      </w:pPr>
    </w:p>
    <w:p w:rsidRPr="00532434" w:rsidR="00624464" w:rsidP="00FC7C0E" w:rsidRDefault="003A23DE" w14:paraId="4A1CCF94" w14:textId="24F1D91A">
      <w:pPr>
        <w:pStyle w:val="Default"/>
        <w:widowControl/>
        <w:numPr>
          <w:ilvl w:val="2"/>
          <w:numId w:val="22"/>
        </w:numPr>
        <w:spacing w:after="200"/>
        <w:jc w:val="both"/>
      </w:pPr>
      <w:r>
        <w:t>We are</w:t>
      </w:r>
      <w:r w:rsidR="001C2C3D">
        <w:t xml:space="preserve"> committed to using advice, </w:t>
      </w:r>
      <w:r w:rsidR="00E04929">
        <w:t xml:space="preserve">guidance and support as </w:t>
      </w:r>
      <w:r w:rsidR="001C2C3D">
        <w:t>a first response to the majority of</w:t>
      </w:r>
      <w:r w:rsidR="00E04929">
        <w:t xml:space="preserve"> breaches of l</w:t>
      </w:r>
      <w:r w:rsidR="001C1E43">
        <w:t>egislatio</w:t>
      </w:r>
      <w:r w:rsidR="00166123">
        <w:t xml:space="preserve">n, </w:t>
      </w:r>
      <w:r w:rsidRPr="2D1CDE2C" w:rsidR="00166123">
        <w:rPr>
          <w:lang w:eastAsia="en-US"/>
        </w:rPr>
        <w:t xml:space="preserve">subject to any need to take </w:t>
      </w:r>
      <w:r w:rsidR="00166123">
        <w:t>immediate formal action for the most serio</w:t>
      </w:r>
      <w:r w:rsidR="00411C9F">
        <w:t>us breaches (see paragraph 4.1</w:t>
      </w:r>
      <w:r w:rsidR="00CB0362">
        <w:t>2</w:t>
      </w:r>
      <w:r w:rsidR="00166123">
        <w:t xml:space="preserve"> above).</w:t>
      </w:r>
    </w:p>
    <w:p w:rsidRPr="00532434" w:rsidR="00624464" w:rsidP="0045522C" w:rsidRDefault="00C4681A" w14:paraId="4E545042" w14:textId="6FD80826">
      <w:pPr>
        <w:pStyle w:val="Default"/>
        <w:widowControl/>
        <w:numPr>
          <w:ilvl w:val="2"/>
          <w:numId w:val="22"/>
        </w:numPr>
        <w:spacing w:after="200"/>
        <w:jc w:val="both"/>
      </w:pPr>
      <w:r>
        <w:t xml:space="preserve">Any initial requests for advice </w:t>
      </w:r>
      <w:r w:rsidR="00B3403B">
        <w:t xml:space="preserve">from individuals or businesses </w:t>
      </w:r>
      <w:r>
        <w:t xml:space="preserve">on non-compliance will not </w:t>
      </w:r>
      <w:r w:rsidR="00614AAE">
        <w:t xml:space="preserve">necessarily </w:t>
      </w:r>
      <w:r w:rsidR="00AB7BC0">
        <w:t>t</w:t>
      </w:r>
      <w:r>
        <w:t xml:space="preserve">rigger enforcement action. </w:t>
      </w:r>
      <w:r w:rsidR="00614AAE">
        <w:t xml:space="preserve">In such cases we </w:t>
      </w:r>
      <w:r>
        <w:t xml:space="preserve">will seek to assist in rectifying </w:t>
      </w:r>
      <w:r w:rsidR="00556915">
        <w:t xml:space="preserve">such </w:t>
      </w:r>
      <w:r>
        <w:t>breaches as quickly and efficiently as possible, where there is a clear willingness to resolve the matter</w:t>
      </w:r>
      <w:r w:rsidR="00614AAE">
        <w:t>.</w:t>
      </w:r>
    </w:p>
    <w:p w:rsidRPr="00532434" w:rsidR="007B48F9" w:rsidP="0045522C" w:rsidRDefault="00E04929" w14:paraId="1397D89C" w14:textId="77777777">
      <w:pPr>
        <w:pStyle w:val="Default"/>
        <w:widowControl/>
        <w:numPr>
          <w:ilvl w:val="2"/>
          <w:numId w:val="22"/>
        </w:numPr>
        <w:spacing w:after="200"/>
        <w:jc w:val="both"/>
        <w:rPr>
          <w:b/>
        </w:rPr>
      </w:pPr>
      <w:r>
        <w:t>Any correspondence will clearly differentiate between legal requirements and good practice</w:t>
      </w:r>
      <w:r w:rsidR="009B4A66">
        <w:t>, and indicate</w:t>
      </w:r>
      <w:r>
        <w:t xml:space="preserve"> the regulations contravened and the measures which will enable compliance.</w:t>
      </w:r>
    </w:p>
    <w:p w:rsidRPr="00532434" w:rsidR="00562E26" w:rsidP="009D122D" w:rsidRDefault="007B1B81" w14:paraId="435D89FA" w14:textId="77777777">
      <w:pPr>
        <w:pStyle w:val="Default"/>
        <w:widowControl/>
        <w:numPr>
          <w:ilvl w:val="2"/>
          <w:numId w:val="22"/>
        </w:numPr>
        <w:spacing w:after="200"/>
        <w:jc w:val="both"/>
        <w:rPr>
          <w:b/>
        </w:rPr>
      </w:pPr>
      <w:r>
        <w:t>Follow up checks will be carried out on a risk and intelligence-led basis and where a similar breach is identified in the future, previous advice will be taken into account in considering the most appropriate enforcement action to take on that occasion.</w:t>
      </w:r>
    </w:p>
    <w:p w:rsidRPr="00532434" w:rsidR="00031A4F" w:rsidP="00031A4F" w:rsidRDefault="00031A4F" w14:paraId="76830339" w14:textId="1AE52F70">
      <w:pPr>
        <w:numPr>
          <w:ilvl w:val="1"/>
          <w:numId w:val="22"/>
        </w:numPr>
        <w:rPr>
          <w:rFonts w:cs="Arial"/>
          <w:sz w:val="24"/>
          <w:szCs w:val="24"/>
        </w:rPr>
      </w:pPr>
      <w:r w:rsidRPr="2D1CDE2C">
        <w:rPr>
          <w:rFonts w:cs="Arial"/>
          <w:sz w:val="24"/>
          <w:szCs w:val="24"/>
        </w:rPr>
        <w:t>Where more formal enforcement action has previously been taken, such as a simple caution or prosecution, we recognise that</w:t>
      </w:r>
      <w:r w:rsidRPr="2D1CDE2C" w:rsidR="00F768D9">
        <w:rPr>
          <w:rFonts w:cs="Arial"/>
          <w:sz w:val="24"/>
          <w:szCs w:val="24"/>
        </w:rPr>
        <w:t>, in some cases,</w:t>
      </w:r>
      <w:r w:rsidRPr="2D1CDE2C">
        <w:rPr>
          <w:rFonts w:cs="Arial"/>
          <w:sz w:val="24"/>
          <w:szCs w:val="24"/>
        </w:rPr>
        <w:t xml:space="preserve"> there</w:t>
      </w:r>
      <w:r w:rsidRPr="2D1CDE2C" w:rsidR="00F768D9">
        <w:rPr>
          <w:rFonts w:cs="Arial"/>
          <w:sz w:val="24"/>
          <w:szCs w:val="24"/>
        </w:rPr>
        <w:t xml:space="preserve"> may be a need for additional</w:t>
      </w:r>
      <w:r w:rsidRPr="2D1CDE2C">
        <w:rPr>
          <w:rFonts w:cs="Arial"/>
          <w:sz w:val="24"/>
          <w:szCs w:val="24"/>
        </w:rPr>
        <w:t xml:space="preserve"> compliance advice and support, to prevent further breaches.</w:t>
      </w:r>
    </w:p>
    <w:p w:rsidRPr="00532434" w:rsidR="00031A4F" w:rsidP="00031A4F" w:rsidRDefault="00031A4F" w14:paraId="1B1FA5E2" w14:textId="77777777">
      <w:pPr>
        <w:ind w:left="720"/>
        <w:rPr>
          <w:rFonts w:cs="Arial"/>
          <w:sz w:val="24"/>
          <w:szCs w:val="24"/>
        </w:rPr>
      </w:pPr>
    </w:p>
    <w:p w:rsidRPr="00532434" w:rsidR="003A23DE" w:rsidP="003A23DE" w:rsidRDefault="006F2804" w14:paraId="282B9277" w14:textId="77777777">
      <w:pPr>
        <w:numPr>
          <w:ilvl w:val="1"/>
          <w:numId w:val="22"/>
        </w:numPr>
        <w:rPr>
          <w:rFonts w:cs="Arial"/>
          <w:b/>
          <w:color w:val="000000"/>
          <w:sz w:val="24"/>
          <w:szCs w:val="24"/>
        </w:rPr>
      </w:pPr>
      <w:r w:rsidRPr="2D1CDE2C">
        <w:rPr>
          <w:rFonts w:cs="Arial"/>
          <w:b/>
          <w:bCs/>
          <w:color w:val="000000" w:themeColor="text1"/>
          <w:sz w:val="24"/>
          <w:szCs w:val="24"/>
          <w:lang w:val="en-US"/>
        </w:rPr>
        <w:t>Verbal or written warning</w:t>
      </w:r>
    </w:p>
    <w:p w:rsidRPr="00532434" w:rsidR="007B48F9" w:rsidP="007B48F9" w:rsidRDefault="007B48F9" w14:paraId="2A9E9E06" w14:textId="77777777">
      <w:pPr>
        <w:rPr>
          <w:rFonts w:cs="Arial"/>
          <w:b/>
          <w:color w:val="000000"/>
          <w:sz w:val="24"/>
          <w:szCs w:val="24"/>
        </w:rPr>
      </w:pPr>
    </w:p>
    <w:p w:rsidRPr="00532434" w:rsidR="001C1E43" w:rsidP="003A23DE" w:rsidRDefault="006F2804" w14:paraId="222107E6" w14:textId="3A42F3FF">
      <w:pPr>
        <w:pStyle w:val="Default"/>
        <w:widowControl/>
        <w:numPr>
          <w:ilvl w:val="2"/>
          <w:numId w:val="22"/>
        </w:numPr>
        <w:spacing w:after="200"/>
        <w:jc w:val="both"/>
      </w:pPr>
      <w:r>
        <w:t xml:space="preserve">Compliance advice </w:t>
      </w:r>
      <w:r w:rsidR="002C7794">
        <w:t>can be</w:t>
      </w:r>
      <w:r>
        <w:t xml:space="preserve"> provided in the form of a verbal or written warning. In doing so we will clearly explain what should be done to rectify the problem</w:t>
      </w:r>
      <w:r w:rsidR="002C7794">
        <w:t>,</w:t>
      </w:r>
      <w:r w:rsidR="007B48F9">
        <w:t xml:space="preserve"> and </w:t>
      </w:r>
      <w:r w:rsidR="002C7794">
        <w:t xml:space="preserve">how </w:t>
      </w:r>
      <w:r w:rsidR="007B48F9">
        <w:t>to prevent re-occurrence.</w:t>
      </w:r>
      <w:r w:rsidR="007D3F92">
        <w:t xml:space="preserve"> </w:t>
      </w:r>
      <w:r>
        <w:t>Warning</w:t>
      </w:r>
      <w:r w:rsidR="001D5B2F">
        <w:t>s</w:t>
      </w:r>
      <w:r>
        <w:t xml:space="preserve"> cannot be cited in court as a previous </w:t>
      </w:r>
      <w:r w:rsidR="00957609">
        <w:t>conviction but</w:t>
      </w:r>
      <w:r w:rsidR="001C1E43">
        <w:t xml:space="preserve"> may be presented in evidence</w:t>
      </w:r>
      <w:r w:rsidRPr="2D1CDE2C" w:rsidR="001C1E43">
        <w:rPr>
          <w:color w:val="auto"/>
        </w:rPr>
        <w:t>.</w:t>
      </w:r>
      <w:r w:rsidRPr="2D1CDE2C" w:rsidR="008871CD">
        <w:rPr>
          <w:color w:val="FF0000"/>
        </w:rPr>
        <w:t xml:space="preserve"> </w:t>
      </w:r>
      <w:r w:rsidR="008871CD">
        <w:t xml:space="preserve">Failure </w:t>
      </w:r>
      <w:r w:rsidR="00307712">
        <w:t>to comply with warnings or advice could result in more serious enforcement action being taken.</w:t>
      </w:r>
    </w:p>
    <w:p w:rsidRPr="00532434" w:rsidR="0017646D" w:rsidP="007B48F9" w:rsidRDefault="0017646D" w14:paraId="6838D37A" w14:textId="77777777">
      <w:pPr>
        <w:numPr>
          <w:ilvl w:val="1"/>
          <w:numId w:val="22"/>
        </w:numPr>
        <w:rPr>
          <w:rFonts w:cs="Arial"/>
          <w:b/>
          <w:sz w:val="24"/>
          <w:szCs w:val="24"/>
        </w:rPr>
      </w:pPr>
      <w:r w:rsidRPr="2D1CDE2C">
        <w:rPr>
          <w:rFonts w:cs="Arial"/>
          <w:b/>
          <w:bCs/>
          <w:color w:val="000000" w:themeColor="text1"/>
          <w:sz w:val="24"/>
          <w:szCs w:val="24"/>
          <w:lang w:val="en-US"/>
        </w:rPr>
        <w:t xml:space="preserve">Statutory </w:t>
      </w:r>
      <w:r w:rsidRPr="2D1CDE2C" w:rsidR="00AA72E2">
        <w:rPr>
          <w:rFonts w:cs="Arial"/>
          <w:b/>
          <w:bCs/>
          <w:sz w:val="24"/>
          <w:szCs w:val="24"/>
        </w:rPr>
        <w:t>(Legal) Notices</w:t>
      </w:r>
    </w:p>
    <w:p w:rsidRPr="00532434" w:rsidR="007B48F9" w:rsidP="007B48F9" w:rsidRDefault="007B48F9" w14:paraId="6715CFC0" w14:textId="77777777">
      <w:pPr>
        <w:rPr>
          <w:rFonts w:cs="Arial"/>
          <w:b/>
          <w:sz w:val="24"/>
          <w:szCs w:val="24"/>
        </w:rPr>
      </w:pPr>
    </w:p>
    <w:p w:rsidRPr="00532434" w:rsidR="007B48F9" w:rsidP="00EE1B40" w:rsidRDefault="0017646D" w14:paraId="4ACFF02F" w14:textId="77777777">
      <w:pPr>
        <w:pStyle w:val="Default"/>
        <w:widowControl/>
        <w:numPr>
          <w:ilvl w:val="2"/>
          <w:numId w:val="22"/>
        </w:numPr>
        <w:spacing w:after="200"/>
        <w:jc w:val="both"/>
      </w:pPr>
      <w:r>
        <w:t xml:space="preserve">Statutory Notices </w:t>
      </w:r>
      <w:r w:rsidR="0026240E">
        <w:t xml:space="preserve">are used as appropriate in accordance with relevant </w:t>
      </w:r>
      <w:r w:rsidR="006F2804">
        <w:t>legislation. S</w:t>
      </w:r>
      <w:r w:rsidR="00AA72E2">
        <w:t>uch notices are legally binding. Failure to comply with a statutory notice can be a criminal offence a</w:t>
      </w:r>
      <w:r w:rsidR="00FC7C0E">
        <w:t>nd may lead to prosecution and/</w:t>
      </w:r>
      <w:r w:rsidR="00AA72E2">
        <w:t>or, where appropriate, the carrying out of work in default.</w:t>
      </w:r>
    </w:p>
    <w:p w:rsidRPr="00532434" w:rsidR="00A23B69" w:rsidP="007D3F92" w:rsidRDefault="00AA72E2" w14:paraId="263E2972" w14:textId="77777777">
      <w:pPr>
        <w:pStyle w:val="Default"/>
        <w:widowControl/>
        <w:numPr>
          <w:ilvl w:val="2"/>
          <w:numId w:val="22"/>
        </w:numPr>
        <w:spacing w:after="200"/>
        <w:jc w:val="both"/>
      </w:pPr>
      <w:r>
        <w:lastRenderedPageBreak/>
        <w:t xml:space="preserve">A statutory notice will clearly set out actions which must be taken and the timescale within which they must be taken. It is likely to require that any breach is rectified and/or prevented from recurring. It may also prohibit specified activities until the breach has been rectified and/or safeguards have been put in place to prevent future breaches. Where a statutory notice is issued, an explanation of the appeals process </w:t>
      </w:r>
      <w:r w:rsidR="007D3D04">
        <w:t xml:space="preserve">for such notices </w:t>
      </w:r>
      <w:r>
        <w:t>will be provided to the recipient.</w:t>
      </w:r>
    </w:p>
    <w:p w:rsidRPr="00532434" w:rsidR="007A455A" w:rsidP="0003191B" w:rsidRDefault="00C75251" w14:paraId="39C8C33F" w14:textId="77777777">
      <w:pPr>
        <w:numPr>
          <w:ilvl w:val="1"/>
          <w:numId w:val="22"/>
        </w:numPr>
        <w:rPr>
          <w:rFonts w:cs="Arial"/>
          <w:b/>
          <w:color w:val="000000"/>
          <w:sz w:val="24"/>
          <w:szCs w:val="24"/>
        </w:rPr>
      </w:pPr>
      <w:r w:rsidRPr="2D1CDE2C">
        <w:rPr>
          <w:rFonts w:cs="Arial"/>
          <w:b/>
          <w:bCs/>
          <w:sz w:val="24"/>
          <w:szCs w:val="24"/>
        </w:rPr>
        <w:t>Monetary penalties</w:t>
      </w:r>
    </w:p>
    <w:p w:rsidRPr="00532434" w:rsidR="007B48F9" w:rsidP="007B48F9" w:rsidRDefault="007B48F9" w14:paraId="65F710A4" w14:textId="77777777">
      <w:pPr>
        <w:rPr>
          <w:rFonts w:cs="Arial"/>
          <w:b/>
          <w:color w:val="000000"/>
          <w:sz w:val="24"/>
          <w:szCs w:val="24"/>
        </w:rPr>
      </w:pPr>
    </w:p>
    <w:p w:rsidRPr="00532434" w:rsidR="007B48F9" w:rsidP="00CB0362" w:rsidRDefault="007A455A" w14:paraId="52464BBA" w14:textId="77777777">
      <w:pPr>
        <w:numPr>
          <w:ilvl w:val="2"/>
          <w:numId w:val="22"/>
        </w:numPr>
        <w:jc w:val="both"/>
        <w:rPr>
          <w:rFonts w:cs="Arial"/>
          <w:b/>
          <w:color w:val="000000"/>
          <w:sz w:val="24"/>
          <w:szCs w:val="24"/>
        </w:rPr>
      </w:pPr>
      <w:r w:rsidRPr="2D1CDE2C">
        <w:rPr>
          <w:rFonts w:cs="Arial"/>
          <w:sz w:val="24"/>
          <w:szCs w:val="24"/>
        </w:rPr>
        <w:t>F</w:t>
      </w:r>
      <w:r w:rsidRPr="2D1CDE2C" w:rsidR="00C75251">
        <w:rPr>
          <w:rFonts w:cs="Arial"/>
          <w:sz w:val="24"/>
          <w:szCs w:val="24"/>
        </w:rPr>
        <w:t>ixed or variable monetary penalties</w:t>
      </w:r>
      <w:r w:rsidRPr="2D1CDE2C" w:rsidR="00C75251">
        <w:rPr>
          <w:rFonts w:cs="Arial"/>
          <w:b/>
          <w:bCs/>
          <w:color w:val="000000" w:themeColor="text1"/>
          <w:sz w:val="24"/>
          <w:szCs w:val="24"/>
        </w:rPr>
        <w:t xml:space="preserve"> </w:t>
      </w:r>
      <w:r w:rsidRPr="2D1CDE2C" w:rsidR="0017646D">
        <w:rPr>
          <w:rFonts w:cs="Arial"/>
          <w:color w:val="000000" w:themeColor="text1"/>
          <w:sz w:val="24"/>
          <w:szCs w:val="24"/>
        </w:rPr>
        <w:t>may be issued where</w:t>
      </w:r>
      <w:r w:rsidRPr="2D1CDE2C" w:rsidR="0017646D">
        <w:rPr>
          <w:rFonts w:cs="Arial"/>
          <w:color w:val="000000" w:themeColor="text1"/>
          <w:sz w:val="24"/>
          <w:szCs w:val="24"/>
          <w:lang w:val="en-US"/>
        </w:rPr>
        <w:t xml:space="preserve"> there is a specific power or delegated authority to do so and </w:t>
      </w:r>
      <w:r w:rsidRPr="2D1CDE2C" w:rsidR="0017646D">
        <w:rPr>
          <w:rFonts w:cs="Arial"/>
          <w:color w:val="000000" w:themeColor="text1"/>
          <w:sz w:val="24"/>
          <w:szCs w:val="24"/>
        </w:rPr>
        <w:t>under the following circumstances:</w:t>
      </w:r>
    </w:p>
    <w:p w:rsidRPr="00532434" w:rsidR="0017646D" w:rsidP="00CB0362" w:rsidRDefault="0017646D" w14:paraId="6DD40AD7" w14:textId="77777777">
      <w:pPr>
        <w:jc w:val="both"/>
        <w:rPr>
          <w:rFonts w:cs="Arial"/>
          <w:color w:val="000000"/>
          <w:sz w:val="24"/>
          <w:szCs w:val="24"/>
        </w:rPr>
      </w:pPr>
      <w:r w:rsidRPr="00532434">
        <w:rPr>
          <w:rFonts w:cs="Arial"/>
          <w:color w:val="000000"/>
          <w:sz w:val="24"/>
          <w:szCs w:val="24"/>
        </w:rPr>
        <w:t> </w:t>
      </w:r>
    </w:p>
    <w:p w:rsidRPr="00532434" w:rsidR="0017646D" w:rsidP="00CB0362" w:rsidRDefault="0017646D" w14:paraId="7AB0C600" w14:textId="77777777">
      <w:pPr>
        <w:numPr>
          <w:ilvl w:val="0"/>
          <w:numId w:val="13"/>
        </w:numPr>
        <w:jc w:val="both"/>
        <w:rPr>
          <w:rFonts w:cs="Arial"/>
          <w:color w:val="000000"/>
          <w:sz w:val="24"/>
          <w:szCs w:val="24"/>
          <w:lang w:val="en-US"/>
        </w:rPr>
      </w:pPr>
      <w:r w:rsidRPr="00532434">
        <w:rPr>
          <w:rFonts w:cs="Arial"/>
          <w:color w:val="000000"/>
          <w:sz w:val="24"/>
          <w:szCs w:val="24"/>
          <w:lang w:val="en-US"/>
        </w:rPr>
        <w:t>To provide an effective and visible way to respond to less serious crimes without going to court</w:t>
      </w:r>
    </w:p>
    <w:p w:rsidRPr="00532434" w:rsidR="0017646D" w:rsidP="00CB0362" w:rsidRDefault="0017646D" w14:paraId="6AA8DD6B" w14:textId="4B5A041E">
      <w:pPr>
        <w:numPr>
          <w:ilvl w:val="0"/>
          <w:numId w:val="13"/>
        </w:numPr>
        <w:jc w:val="both"/>
        <w:rPr>
          <w:rFonts w:cs="Arial"/>
          <w:color w:val="000000"/>
          <w:sz w:val="24"/>
          <w:szCs w:val="24"/>
          <w:lang w:val="en-US"/>
        </w:rPr>
      </w:pPr>
      <w:r w:rsidRPr="2D1CDE2C">
        <w:rPr>
          <w:rFonts w:cs="Arial"/>
          <w:color w:val="000000" w:themeColor="text1"/>
          <w:sz w:val="24"/>
          <w:szCs w:val="24"/>
          <w:lang w:val="en-US"/>
        </w:rPr>
        <w:t xml:space="preserve">As a response to </w:t>
      </w:r>
      <w:r w:rsidRPr="2D1CDE2C" w:rsidR="0845CB16">
        <w:rPr>
          <w:rFonts w:cs="Arial"/>
          <w:color w:val="000000" w:themeColor="text1"/>
          <w:sz w:val="24"/>
          <w:szCs w:val="24"/>
          <w:lang w:val="en-US"/>
        </w:rPr>
        <w:t>particular issues</w:t>
      </w:r>
      <w:r w:rsidRPr="2D1CDE2C">
        <w:rPr>
          <w:rFonts w:cs="Arial"/>
          <w:color w:val="000000" w:themeColor="text1"/>
          <w:sz w:val="24"/>
          <w:szCs w:val="24"/>
          <w:lang w:val="en-US"/>
        </w:rPr>
        <w:t xml:space="preserve"> or as part of a wider enforcement strategy</w:t>
      </w:r>
      <w:r w:rsidRPr="2D1CDE2C" w:rsidR="00670EDF">
        <w:rPr>
          <w:rFonts w:cs="Arial"/>
          <w:color w:val="000000" w:themeColor="text1"/>
          <w:sz w:val="24"/>
          <w:szCs w:val="24"/>
          <w:lang w:val="en-US"/>
        </w:rPr>
        <w:t>.</w:t>
      </w:r>
    </w:p>
    <w:p w:rsidRPr="00532434" w:rsidR="009264E8" w:rsidP="00CB0362" w:rsidRDefault="009264E8" w14:paraId="6B432F9B" w14:textId="77777777">
      <w:pPr>
        <w:ind w:left="1080"/>
        <w:jc w:val="both"/>
        <w:rPr>
          <w:rFonts w:cs="Arial"/>
          <w:color w:val="000000"/>
          <w:sz w:val="24"/>
          <w:szCs w:val="24"/>
          <w:lang w:val="en-US"/>
        </w:rPr>
      </w:pPr>
    </w:p>
    <w:p w:rsidRPr="00532434" w:rsidR="004D776D" w:rsidP="00CB0362" w:rsidRDefault="007B3475" w14:paraId="35EEBF3D" w14:textId="47D68AF0">
      <w:pPr>
        <w:pStyle w:val="Default"/>
        <w:widowControl/>
        <w:numPr>
          <w:ilvl w:val="2"/>
          <w:numId w:val="22"/>
        </w:numPr>
        <w:spacing w:after="200"/>
        <w:jc w:val="both"/>
      </w:pPr>
      <w:r>
        <w:t>Specific guidance for legislation</w:t>
      </w:r>
      <w:r w:rsidR="001C06D4">
        <w:t>,</w:t>
      </w:r>
      <w:r>
        <w:t xml:space="preserve"> which includes the power to issue monetary penalties</w:t>
      </w:r>
      <w:r w:rsidR="001C06D4">
        <w:t>,</w:t>
      </w:r>
      <w:r>
        <w:t xml:space="preserve"> </w:t>
      </w:r>
      <w:r w:rsidR="00AA6A70">
        <w:t>may</w:t>
      </w:r>
      <w:r>
        <w:t xml:space="preserve"> </w:t>
      </w:r>
      <w:r w:rsidR="00AA6A70">
        <w:t>be</w:t>
      </w:r>
      <w:r>
        <w:t xml:space="preserve"> p</w:t>
      </w:r>
      <w:r w:rsidR="00AA6A70">
        <w:t xml:space="preserve">roduced to support this </w:t>
      </w:r>
      <w:r w:rsidR="00670EDF">
        <w:t>p</w:t>
      </w:r>
      <w:r w:rsidR="00AA6A70">
        <w:t>olicy</w:t>
      </w:r>
      <w:r w:rsidR="001C06D4">
        <w:t xml:space="preserve">. </w:t>
      </w:r>
    </w:p>
    <w:p w:rsidRPr="00532434" w:rsidR="00AA72E2" w:rsidP="00EE1B40" w:rsidRDefault="00FC7C0E" w14:paraId="232B5071" w14:textId="77777777">
      <w:pPr>
        <w:pStyle w:val="Default"/>
        <w:widowControl/>
        <w:numPr>
          <w:ilvl w:val="2"/>
          <w:numId w:val="22"/>
        </w:numPr>
        <w:spacing w:after="200"/>
        <w:jc w:val="both"/>
      </w:pPr>
      <w:r>
        <w:t>Where the offender fails to discharge their liability resulting from a</w:t>
      </w:r>
      <w:r w:rsidR="0017646D">
        <w:t>ny</w:t>
      </w:r>
      <w:r w:rsidR="00C75251">
        <w:t xml:space="preserve"> monetary</w:t>
      </w:r>
      <w:r w:rsidR="0017646D">
        <w:t xml:space="preserve"> </w:t>
      </w:r>
      <w:r w:rsidR="00C75251">
        <w:t xml:space="preserve">penalty </w:t>
      </w:r>
      <w:r>
        <w:t xml:space="preserve">issued, </w:t>
      </w:r>
      <w:r w:rsidR="0017646D">
        <w:t>alternative enforcement action</w:t>
      </w:r>
      <w:r>
        <w:t xml:space="preserve"> will automatically be considered</w:t>
      </w:r>
      <w:r w:rsidR="0017646D">
        <w:t xml:space="preserve"> under</w:t>
      </w:r>
      <w:r w:rsidR="007B48F9">
        <w:t xml:space="preserve"> </w:t>
      </w:r>
      <w:r w:rsidR="0017646D">
        <w:t>this policy (including prosecution of the initial offence). Wh</w:t>
      </w:r>
      <w:r w:rsidR="00126F84">
        <w:t>ere</w:t>
      </w:r>
      <w:r w:rsidR="007B48F9">
        <w:t xml:space="preserve"> </w:t>
      </w:r>
      <w:r w:rsidR="00126F84">
        <w:t xml:space="preserve">prosecution is </w:t>
      </w:r>
      <w:r w:rsidR="00BA52BC">
        <w:t>brought;</w:t>
      </w:r>
      <w:r w:rsidR="00126F84">
        <w:t xml:space="preserve"> an assessment</w:t>
      </w:r>
      <w:r w:rsidR="0017646D">
        <w:t xml:space="preserve"> will be </w:t>
      </w:r>
      <w:r>
        <w:t>made of</w:t>
      </w:r>
      <w:r w:rsidR="0017646D">
        <w:t xml:space="preserve"> other offences</w:t>
      </w:r>
      <w:r w:rsidR="007B48F9">
        <w:t xml:space="preserve"> </w:t>
      </w:r>
      <w:r w:rsidR="0017646D">
        <w:t xml:space="preserve">that may </w:t>
      </w:r>
      <w:r w:rsidR="00126F84">
        <w:t xml:space="preserve">also </w:t>
      </w:r>
      <w:r w:rsidR="0017646D">
        <w:t>have been committed</w:t>
      </w:r>
      <w:r w:rsidR="00126F84">
        <w:t xml:space="preserve"> in order that </w:t>
      </w:r>
      <w:r w:rsidR="0017646D">
        <w:t>those charges may be</w:t>
      </w:r>
      <w:r w:rsidR="007B48F9">
        <w:t xml:space="preserve"> </w:t>
      </w:r>
      <w:r w:rsidR="0017646D">
        <w:t>considered at the same time.</w:t>
      </w:r>
    </w:p>
    <w:p w:rsidRPr="00532434" w:rsidR="003B17BA" w:rsidP="003B17BA" w:rsidRDefault="004C5776" w14:paraId="4FB9CB41" w14:textId="77777777">
      <w:pPr>
        <w:pStyle w:val="Default"/>
        <w:widowControl/>
        <w:spacing w:after="200"/>
        <w:ind w:left="720"/>
        <w:jc w:val="both"/>
      </w:pPr>
      <w:r w:rsidRPr="00532434">
        <w:t xml:space="preserve">Consideration will be given to the adoption of alternative remedies to the issue of a </w:t>
      </w:r>
      <w:r w:rsidRPr="00532434" w:rsidR="00C75251">
        <w:t>monetary penalty,</w:t>
      </w:r>
      <w:r w:rsidRPr="00532434">
        <w:t xml:space="preserve"> such as those involving dedicated advice and training sessions, which aim to </w:t>
      </w:r>
      <w:r w:rsidRPr="00532434">
        <w:rPr>
          <w:lang w:val="en-US"/>
        </w:rPr>
        <w:t>change</w:t>
      </w:r>
      <w:r w:rsidRPr="00532434">
        <w:t xml:space="preserve"> the behaviour of the offender, whilst remaining proportionate to the nature of the offence and the harm/potential harm caused.</w:t>
      </w:r>
    </w:p>
    <w:p w:rsidRPr="00532434" w:rsidR="00042472" w:rsidP="00A10305" w:rsidRDefault="00941E41" w14:paraId="25B74C0A" w14:textId="77777777">
      <w:pPr>
        <w:numPr>
          <w:ilvl w:val="1"/>
          <w:numId w:val="22"/>
        </w:numPr>
        <w:rPr>
          <w:rFonts w:cs="Arial"/>
          <w:b/>
          <w:color w:val="000000"/>
          <w:sz w:val="24"/>
          <w:szCs w:val="24"/>
          <w:lang w:val="en-US"/>
        </w:rPr>
      </w:pPr>
      <w:r w:rsidRPr="2D1CDE2C">
        <w:rPr>
          <w:rFonts w:cs="Arial"/>
          <w:b/>
          <w:bCs/>
          <w:color w:val="000000" w:themeColor="text1"/>
          <w:sz w:val="24"/>
          <w:szCs w:val="24"/>
          <w:lang w:val="en-US"/>
        </w:rPr>
        <w:t>Licenc</w:t>
      </w:r>
      <w:r w:rsidRPr="2D1CDE2C" w:rsidR="009952E3">
        <w:rPr>
          <w:rFonts w:cs="Arial"/>
          <w:b/>
          <w:bCs/>
          <w:color w:val="000000" w:themeColor="text1"/>
          <w:sz w:val="24"/>
          <w:szCs w:val="24"/>
          <w:lang w:val="en-US"/>
        </w:rPr>
        <w:t>es</w:t>
      </w:r>
      <w:r w:rsidRPr="2D1CDE2C" w:rsidR="006F5164">
        <w:rPr>
          <w:rFonts w:cs="Arial"/>
          <w:b/>
          <w:bCs/>
          <w:color w:val="000000" w:themeColor="text1"/>
          <w:sz w:val="24"/>
          <w:szCs w:val="24"/>
          <w:lang w:val="en-US"/>
        </w:rPr>
        <w:t xml:space="preserve">, </w:t>
      </w:r>
      <w:r w:rsidRPr="2D1CDE2C" w:rsidR="006F5164">
        <w:rPr>
          <w:rFonts w:cs="Arial"/>
          <w:b/>
          <w:bCs/>
          <w:color w:val="000000" w:themeColor="text1"/>
          <w:sz w:val="24"/>
          <w:szCs w:val="24"/>
        </w:rPr>
        <w:t>registrations and approvals</w:t>
      </w:r>
    </w:p>
    <w:p w:rsidRPr="00532434" w:rsidR="00A10305" w:rsidP="00A10305" w:rsidRDefault="00A10305" w14:paraId="03ECE3CB" w14:textId="77777777">
      <w:pPr>
        <w:rPr>
          <w:rFonts w:cs="Arial"/>
          <w:color w:val="000000"/>
          <w:sz w:val="24"/>
          <w:szCs w:val="24"/>
          <w:lang w:val="en-US"/>
        </w:rPr>
      </w:pPr>
    </w:p>
    <w:p w:rsidRPr="00532434" w:rsidR="00B3408F" w:rsidP="00BA137C" w:rsidRDefault="003A23DE" w14:paraId="31EB9327" w14:textId="4CDFD6C5">
      <w:pPr>
        <w:pStyle w:val="Default"/>
        <w:widowControl/>
        <w:spacing w:after="200"/>
        <w:ind w:left="720"/>
        <w:jc w:val="both"/>
      </w:pPr>
      <w:r w:rsidRPr="00532434">
        <w:t>Local authorities</w:t>
      </w:r>
      <w:r w:rsidRPr="00532434" w:rsidR="007407D8">
        <w:t xml:space="preserve"> </w:t>
      </w:r>
      <w:r w:rsidRPr="00532434">
        <w:t>have</w:t>
      </w:r>
      <w:r w:rsidRPr="00532434" w:rsidR="00244325">
        <w:t xml:space="preserve"> a role to play in ensuring that appropriate standards are met in relation to licences, registrations</w:t>
      </w:r>
      <w:r w:rsidRPr="00532434" w:rsidR="00957609">
        <w:t>,</w:t>
      </w:r>
      <w:r w:rsidRPr="00532434" w:rsidR="00244325">
        <w:t xml:space="preserve"> and approvals. We may </w:t>
      </w:r>
      <w:r w:rsidRPr="00532434" w:rsidR="00A263A9">
        <w:t xml:space="preserve">refuse to grant, </w:t>
      </w:r>
      <w:r w:rsidRPr="00532434" w:rsidR="00244325">
        <w:t>seek to review, temporarily remove</w:t>
      </w:r>
      <w:r w:rsidRPr="00532434" w:rsidR="007F5E9C">
        <w:t>, suspend</w:t>
      </w:r>
      <w:r w:rsidRPr="00532434" w:rsidR="00244325">
        <w:t xml:space="preserve"> or revoke any licence, registration or approval if we are made aware that actions have been carried out which undermine scheme objectives and/or would be unlawful. This includes those issued by other agencies.</w:t>
      </w:r>
    </w:p>
    <w:p w:rsidRPr="00532434" w:rsidR="0026240E" w:rsidP="00A10305" w:rsidRDefault="00891516" w14:paraId="3578FFAF" w14:textId="77777777">
      <w:pPr>
        <w:numPr>
          <w:ilvl w:val="1"/>
          <w:numId w:val="22"/>
        </w:numPr>
        <w:rPr>
          <w:rFonts w:cs="Arial"/>
          <w:b/>
          <w:color w:val="000000"/>
          <w:sz w:val="24"/>
          <w:szCs w:val="24"/>
        </w:rPr>
      </w:pPr>
      <w:r w:rsidRPr="2D1CDE2C">
        <w:rPr>
          <w:rFonts w:cs="Arial"/>
          <w:b/>
          <w:bCs/>
          <w:color w:val="000000" w:themeColor="text1"/>
          <w:sz w:val="24"/>
          <w:szCs w:val="24"/>
        </w:rPr>
        <w:t>Seizure</w:t>
      </w:r>
      <w:r w:rsidRPr="2D1CDE2C" w:rsidR="00516F49">
        <w:rPr>
          <w:rFonts w:cs="Arial"/>
          <w:b/>
          <w:bCs/>
          <w:color w:val="000000" w:themeColor="text1"/>
          <w:sz w:val="24"/>
          <w:szCs w:val="24"/>
        </w:rPr>
        <w:t xml:space="preserve"> and Destruction</w:t>
      </w:r>
    </w:p>
    <w:p w:rsidRPr="00532434" w:rsidR="00A10305" w:rsidP="00A10305" w:rsidRDefault="00A10305" w14:paraId="7DF59F1B" w14:textId="77777777">
      <w:pPr>
        <w:rPr>
          <w:rFonts w:cs="Arial"/>
          <w:color w:val="000000"/>
          <w:sz w:val="24"/>
          <w:szCs w:val="24"/>
        </w:rPr>
      </w:pPr>
    </w:p>
    <w:p w:rsidRPr="00532434" w:rsidR="00F03D4E" w:rsidP="00637718" w:rsidRDefault="00891516" w14:paraId="52E5DA66" w14:textId="77777777">
      <w:pPr>
        <w:pStyle w:val="Default"/>
        <w:widowControl/>
        <w:numPr>
          <w:ilvl w:val="2"/>
          <w:numId w:val="22"/>
        </w:numPr>
        <w:spacing w:after="200"/>
        <w:jc w:val="both"/>
        <w:rPr>
          <w:sz w:val="20"/>
        </w:rPr>
      </w:pPr>
      <w:r>
        <w:t xml:space="preserve">Some legislation permits our Officers to seize </w:t>
      </w:r>
      <w:r w:rsidR="003869D8">
        <w:t xml:space="preserve">items such as </w:t>
      </w:r>
      <w:r>
        <w:t>goods and documents that may</w:t>
      </w:r>
      <w:r w:rsidR="0026240E">
        <w:t xml:space="preserve"> b</w:t>
      </w:r>
      <w:r>
        <w:t>e required as evidence</w:t>
      </w:r>
      <w:r w:rsidR="00B3408F">
        <w:t>.</w:t>
      </w:r>
      <w:r w:rsidR="00637718">
        <w:t xml:space="preserve"> </w:t>
      </w:r>
      <w:r>
        <w:t xml:space="preserve">When we seize goods, we will give an appropriate receipt </w:t>
      </w:r>
      <w:r w:rsidR="00187175">
        <w:t xml:space="preserve">or other record of seizure </w:t>
      </w:r>
      <w:r>
        <w:t>to the person from</w:t>
      </w:r>
      <w:r w:rsidR="00A10305">
        <w:t xml:space="preserve"> </w:t>
      </w:r>
      <w:r>
        <w:t>who</w:t>
      </w:r>
      <w:r w:rsidR="00941E41">
        <w:t>m</w:t>
      </w:r>
      <w:r>
        <w:t xml:space="preserve"> they are taken</w:t>
      </w:r>
      <w:r w:rsidR="0026240E">
        <w:t>.</w:t>
      </w:r>
      <w:r w:rsidR="00217EA8">
        <w:t xml:space="preserve"> </w:t>
      </w:r>
      <w:r>
        <w:t xml:space="preserve">On some occasions we may </w:t>
      </w:r>
      <w:r w:rsidR="00D80B82">
        <w:t xml:space="preserve">also </w:t>
      </w:r>
      <w:r>
        <w:t xml:space="preserve">ask </w:t>
      </w:r>
      <w:r w:rsidR="00D80B82">
        <w:t>a</w:t>
      </w:r>
      <w:r>
        <w:t xml:space="preserve"> person to </w:t>
      </w:r>
      <w:r w:rsidR="00D80B82">
        <w:t xml:space="preserve">voluntarily surrender and transfer ownership of illegal goods to </w:t>
      </w:r>
      <w:r w:rsidR="00227D1C">
        <w:t xml:space="preserve">us. </w:t>
      </w:r>
    </w:p>
    <w:p w:rsidRPr="00532434" w:rsidR="00EA59BF" w:rsidP="00637718" w:rsidRDefault="00F03D4E" w14:paraId="56F8642E" w14:textId="77777777">
      <w:pPr>
        <w:pStyle w:val="Default"/>
        <w:widowControl/>
        <w:numPr>
          <w:ilvl w:val="2"/>
          <w:numId w:val="22"/>
        </w:numPr>
        <w:spacing w:after="200"/>
        <w:jc w:val="both"/>
        <w:rPr>
          <w:sz w:val="20"/>
        </w:rPr>
      </w:pPr>
      <w:r>
        <w:t>Where we seize food for failing food safety requirements,</w:t>
      </w:r>
      <w:r w:rsidR="00EA59BF">
        <w:t xml:space="preserve"> or animal feed for non-compliance with feed law,</w:t>
      </w:r>
      <w:r>
        <w:t xml:space="preserve"> an application will be made to the Court for a condemnation order, for the</w:t>
      </w:r>
      <w:r w:rsidR="00EA59BF">
        <w:t xml:space="preserve"> illegal product </w:t>
      </w:r>
      <w:r>
        <w:t xml:space="preserve">to be destroyed. We will </w:t>
      </w:r>
      <w:r>
        <w:lastRenderedPageBreak/>
        <w:t>provide details of where and when this application will be made to allow interested parties to attend the hearing.</w:t>
      </w:r>
    </w:p>
    <w:p w:rsidRPr="00532434" w:rsidR="00516F49" w:rsidP="2D1CDE2C" w:rsidRDefault="008871CD" w14:paraId="12280C7C" w14:textId="35B07755">
      <w:pPr>
        <w:pStyle w:val="Default"/>
        <w:widowControl/>
        <w:numPr>
          <w:ilvl w:val="2"/>
          <w:numId w:val="22"/>
        </w:numPr>
        <w:spacing w:after="200"/>
        <w:jc w:val="both"/>
        <w:rPr>
          <w:b/>
          <w:bCs/>
        </w:rPr>
      </w:pPr>
      <w:r>
        <w:t xml:space="preserve">Where </w:t>
      </w:r>
      <w:r w:rsidR="00516F49">
        <w:t xml:space="preserve">products are found to present a serious </w:t>
      </w:r>
      <w:r w:rsidR="00F768D9">
        <w:t>risk,</w:t>
      </w:r>
      <w:r w:rsidR="00516F49">
        <w:t xml:space="preserve"> we may seek to destroy or otherwise render them inoperable</w:t>
      </w:r>
      <w:r w:rsidR="00F768D9">
        <w:t xml:space="preserve">, where </w:t>
      </w:r>
      <w:r w:rsidR="203538CF">
        <w:t>permitted by law</w:t>
      </w:r>
      <w:r w:rsidR="00F768D9">
        <w:t>.</w:t>
      </w:r>
      <w:r w:rsidR="00516F49">
        <w:t xml:space="preserve"> </w:t>
      </w:r>
    </w:p>
    <w:p w:rsidR="52DC850F" w:rsidP="2D1CDE2C" w:rsidRDefault="52DC850F" w14:paraId="00B5009D" w14:textId="2C637837">
      <w:pPr>
        <w:pStyle w:val="Default"/>
        <w:widowControl/>
        <w:numPr>
          <w:ilvl w:val="2"/>
          <w:numId w:val="22"/>
        </w:numPr>
        <w:spacing w:after="200"/>
        <w:jc w:val="both"/>
        <w:rPr>
          <w:rFonts w:eastAsia="Arial"/>
          <w:color w:val="auto"/>
        </w:rPr>
      </w:pPr>
      <w:r w:rsidRPr="2D1CDE2C">
        <w:rPr>
          <w:rFonts w:eastAsia="Arial"/>
          <w:color w:val="auto"/>
        </w:rPr>
        <w:t>We may seek to recover costs of destruction, including through the Courts as may be necessary.</w:t>
      </w:r>
    </w:p>
    <w:p w:rsidR="2D1CDE2C" w:rsidP="2D1CDE2C" w:rsidRDefault="2D1CDE2C" w14:paraId="488EC861" w14:textId="22AA8D8B">
      <w:pPr>
        <w:pStyle w:val="Default"/>
        <w:widowControl/>
        <w:spacing w:after="200"/>
        <w:jc w:val="both"/>
        <w:rPr>
          <w:rFonts w:eastAsia="Arial"/>
          <w:color w:val="auto"/>
        </w:rPr>
      </w:pPr>
    </w:p>
    <w:p w:rsidRPr="00532434" w:rsidR="00724493" w:rsidP="00A10305" w:rsidRDefault="00724493" w14:paraId="2573A75F" w14:textId="77777777">
      <w:pPr>
        <w:numPr>
          <w:ilvl w:val="1"/>
          <w:numId w:val="22"/>
        </w:numPr>
        <w:rPr>
          <w:rFonts w:cs="Arial"/>
          <w:b/>
          <w:color w:val="000000"/>
          <w:sz w:val="24"/>
          <w:szCs w:val="24"/>
        </w:rPr>
      </w:pPr>
      <w:r w:rsidRPr="2D1CDE2C">
        <w:rPr>
          <w:rFonts w:cs="Arial"/>
          <w:b/>
          <w:bCs/>
          <w:color w:val="000000" w:themeColor="text1"/>
          <w:sz w:val="24"/>
          <w:szCs w:val="24"/>
        </w:rPr>
        <w:t>Detention</w:t>
      </w:r>
    </w:p>
    <w:p w:rsidRPr="00532434" w:rsidR="00EA59BF" w:rsidP="00EA59BF" w:rsidRDefault="00EA59BF" w14:paraId="60E8B56F" w14:textId="77777777">
      <w:pPr>
        <w:ind w:left="720"/>
        <w:rPr>
          <w:rFonts w:cs="Arial"/>
          <w:b/>
          <w:color w:val="000000"/>
          <w:sz w:val="24"/>
          <w:szCs w:val="24"/>
        </w:rPr>
      </w:pPr>
    </w:p>
    <w:p w:rsidRPr="00532434" w:rsidR="00B84A6E" w:rsidP="00EA59BF" w:rsidRDefault="00EA59BF" w14:paraId="5A855FEE" w14:textId="77777777">
      <w:pPr>
        <w:pStyle w:val="Default"/>
        <w:widowControl/>
        <w:numPr>
          <w:ilvl w:val="2"/>
          <w:numId w:val="22"/>
        </w:numPr>
        <w:spacing w:after="200"/>
        <w:jc w:val="both"/>
      </w:pPr>
      <w:r>
        <w:t>Where food is suspected of failing food safety requirements, or where animal feed does not comply with specified feed law, it may be detained to allow further investigation.</w:t>
      </w:r>
    </w:p>
    <w:p w:rsidRPr="00532434" w:rsidR="00516F49" w:rsidP="00B56258" w:rsidRDefault="00B84A6E" w14:paraId="49BE09EC" w14:textId="77777777">
      <w:pPr>
        <w:pStyle w:val="Default"/>
        <w:widowControl/>
        <w:numPr>
          <w:ilvl w:val="2"/>
          <w:numId w:val="22"/>
        </w:numPr>
        <w:spacing w:after="200"/>
        <w:jc w:val="both"/>
      </w:pPr>
      <w:r>
        <w:t>When food or animal feed is detained, a notice of detention will be provided, detailing the detention arrangements, including the location where the product(s) will be detained.</w:t>
      </w:r>
    </w:p>
    <w:p w:rsidRPr="00532434" w:rsidR="00455EE4" w:rsidP="2D1CDE2C" w:rsidRDefault="00455EE4" w14:paraId="1A8F821F" w14:textId="58A658AF">
      <w:pPr>
        <w:numPr>
          <w:ilvl w:val="2"/>
          <w:numId w:val="22"/>
        </w:numPr>
        <w:jc w:val="both"/>
        <w:rPr>
          <w:rFonts w:eastAsia="Arial" w:cs="Arial"/>
          <w:sz w:val="24"/>
          <w:szCs w:val="24"/>
        </w:rPr>
      </w:pPr>
      <w:r w:rsidRPr="2D1CDE2C">
        <w:rPr>
          <w:rFonts w:cs="Arial"/>
          <w:color w:val="000000" w:themeColor="text1"/>
          <w:sz w:val="24"/>
          <w:szCs w:val="24"/>
        </w:rPr>
        <w:t>When products are detained at the border while product safety compliance checks are carried out, the importer will be informed of this and the anticipated timeframe for these checks to be completed.</w:t>
      </w:r>
      <w:r w:rsidRPr="2D1CDE2C" w:rsidR="0B821612">
        <w:rPr>
          <w:rFonts w:eastAsia="Arial" w:cs="Arial"/>
          <w:sz w:val="24"/>
          <w:szCs w:val="24"/>
        </w:rPr>
        <w:t xml:space="preserve"> Where products do not comply with all relevant safety laws, we may refuse them entry to the market.</w:t>
      </w:r>
    </w:p>
    <w:p w:rsidRPr="00532434" w:rsidR="00455EE4" w:rsidP="00BD2A8D" w:rsidRDefault="00455EE4" w14:paraId="0E7F9B82" w14:textId="77777777">
      <w:pPr>
        <w:pStyle w:val="Default"/>
        <w:widowControl/>
        <w:spacing w:after="200"/>
        <w:jc w:val="both"/>
      </w:pPr>
    </w:p>
    <w:p w:rsidRPr="00532434" w:rsidR="0082273D" w:rsidP="0082273D" w:rsidRDefault="0026240E" w14:paraId="507D7F33" w14:textId="7120DED9">
      <w:pPr>
        <w:numPr>
          <w:ilvl w:val="1"/>
          <w:numId w:val="22"/>
        </w:numPr>
        <w:rPr>
          <w:rFonts w:cs="Arial"/>
          <w:b/>
          <w:color w:val="000000"/>
          <w:sz w:val="24"/>
          <w:szCs w:val="24"/>
        </w:rPr>
      </w:pPr>
      <w:r w:rsidRPr="2D1CDE2C">
        <w:rPr>
          <w:rFonts w:cs="Arial"/>
          <w:b/>
          <w:bCs/>
          <w:color w:val="000000" w:themeColor="text1"/>
          <w:sz w:val="24"/>
          <w:szCs w:val="24"/>
        </w:rPr>
        <w:t>Forfeiture</w:t>
      </w:r>
      <w:r w:rsidRPr="2D1CDE2C" w:rsidR="0082273D">
        <w:rPr>
          <w:rFonts w:cs="Arial"/>
          <w:b/>
          <w:bCs/>
          <w:color w:val="000000" w:themeColor="text1"/>
          <w:sz w:val="24"/>
          <w:szCs w:val="24"/>
        </w:rPr>
        <w:t xml:space="preserve"> </w:t>
      </w:r>
      <w:r w:rsidRPr="2D1CDE2C" w:rsidR="00F13B35">
        <w:rPr>
          <w:rFonts w:cs="Arial"/>
          <w:b/>
          <w:bCs/>
          <w:color w:val="000000" w:themeColor="text1"/>
          <w:sz w:val="24"/>
          <w:szCs w:val="24"/>
        </w:rPr>
        <w:t>or Deprivation</w:t>
      </w:r>
    </w:p>
    <w:p w:rsidRPr="00532434" w:rsidR="00A10305" w:rsidP="00A10305" w:rsidRDefault="00A10305" w14:paraId="7985B179" w14:textId="77777777">
      <w:pPr>
        <w:rPr>
          <w:rFonts w:cs="Arial"/>
          <w:color w:val="000000"/>
          <w:sz w:val="24"/>
          <w:szCs w:val="24"/>
        </w:rPr>
      </w:pPr>
    </w:p>
    <w:p w:rsidRPr="00532434" w:rsidR="00354E90" w:rsidP="2D1CDE2C" w:rsidRDefault="1E392D91" w14:paraId="5DE73877" w14:textId="023A9DF5">
      <w:pPr>
        <w:numPr>
          <w:ilvl w:val="2"/>
          <w:numId w:val="22"/>
        </w:numPr>
        <w:spacing w:after="120"/>
        <w:jc w:val="both"/>
        <w:rPr>
          <w:rFonts w:eastAsia="Arial" w:cs="Arial"/>
          <w:sz w:val="24"/>
          <w:szCs w:val="24"/>
        </w:rPr>
      </w:pPr>
      <w:r w:rsidRPr="2D1CDE2C">
        <w:rPr>
          <w:rFonts w:eastAsia="Arial" w:cs="Arial"/>
          <w:sz w:val="24"/>
          <w:szCs w:val="24"/>
        </w:rPr>
        <w:t>Where a person has not agreed to surrender infringing goods, we may apply to the court for forfeiture or deprivation of the goods whether or not we start a prosecution or bring other proceedings.</w:t>
      </w:r>
    </w:p>
    <w:p w:rsidRPr="00532434" w:rsidR="00354E90" w:rsidP="2D1CDE2C" w:rsidRDefault="1E392D91" w14:paraId="54556ECD" w14:textId="397CBC94">
      <w:pPr>
        <w:numPr>
          <w:ilvl w:val="2"/>
          <w:numId w:val="22"/>
        </w:numPr>
        <w:spacing w:after="120"/>
        <w:jc w:val="both"/>
        <w:rPr>
          <w:rFonts w:cs="Arial"/>
          <w:color w:val="000000"/>
          <w:sz w:val="24"/>
          <w:szCs w:val="24"/>
        </w:rPr>
      </w:pPr>
      <w:r w:rsidRPr="2D1CDE2C">
        <w:rPr>
          <w:rFonts w:eastAsia="Arial" w:cs="Arial"/>
          <w:sz w:val="24"/>
          <w:szCs w:val="24"/>
        </w:rPr>
        <w:t>We may also seek to recover costs of these proceedings from the defendant(s).</w:t>
      </w:r>
      <w:r w:rsidRPr="2D1CDE2C">
        <w:rPr>
          <w:rFonts w:ascii="Calibri" w:hAnsi="Calibri" w:eastAsia="Calibri" w:cs="Calibri"/>
          <w:szCs w:val="22"/>
        </w:rPr>
        <w:t xml:space="preserve"> </w:t>
      </w:r>
    </w:p>
    <w:p w:rsidRPr="00532434" w:rsidR="00354E90" w:rsidP="2D1CDE2C" w:rsidRDefault="00354E90" w14:paraId="447528AA" w14:textId="7A7B9167">
      <w:pPr>
        <w:numPr>
          <w:ilvl w:val="2"/>
          <w:numId w:val="22"/>
        </w:numPr>
        <w:spacing w:after="120"/>
        <w:jc w:val="both"/>
        <w:rPr>
          <w:rFonts w:cs="Arial"/>
          <w:color w:val="000000"/>
          <w:sz w:val="24"/>
          <w:szCs w:val="24"/>
        </w:rPr>
      </w:pPr>
      <w:r w:rsidRPr="2D1CDE2C">
        <w:rPr>
          <w:rFonts w:cs="Arial"/>
          <w:color w:val="000000" w:themeColor="text1"/>
          <w:sz w:val="24"/>
          <w:szCs w:val="24"/>
        </w:rPr>
        <w:t xml:space="preserve">Where unsafe products are detained at the border but there is </w:t>
      </w:r>
      <w:r>
        <w:tab/>
      </w:r>
      <w:r w:rsidRPr="2D1CDE2C" w:rsidR="726FD640">
        <w:rPr>
          <w:rFonts w:cs="Arial"/>
          <w:color w:val="000000" w:themeColor="text1"/>
          <w:sz w:val="24"/>
          <w:szCs w:val="24"/>
        </w:rPr>
        <w:t>i</w:t>
      </w:r>
      <w:r w:rsidRPr="2D1CDE2C">
        <w:rPr>
          <w:rFonts w:cs="Arial"/>
          <w:color w:val="000000" w:themeColor="text1"/>
          <w:sz w:val="24"/>
          <w:szCs w:val="24"/>
        </w:rPr>
        <w:t>nsufficient evidence of the importer’s identity or other circumstances which do not justify any other course of action, the goods may be considered to have been abandoned after 90 days.  The goods may then be destroyed.</w:t>
      </w:r>
    </w:p>
    <w:p w:rsidRPr="00532434" w:rsidR="00354E90" w:rsidP="00BD2A8D" w:rsidRDefault="00354E90" w14:paraId="5DA5E21D" w14:textId="77777777">
      <w:pPr>
        <w:ind w:left="720"/>
        <w:rPr>
          <w:rFonts w:cs="Arial"/>
        </w:rPr>
      </w:pPr>
    </w:p>
    <w:p w:rsidRPr="00532434" w:rsidR="002378D7" w:rsidP="00A10305" w:rsidRDefault="002378D7" w14:paraId="3FE06301" w14:textId="77777777">
      <w:pPr>
        <w:numPr>
          <w:ilvl w:val="1"/>
          <w:numId w:val="22"/>
        </w:numPr>
        <w:rPr>
          <w:rFonts w:cs="Arial"/>
          <w:b/>
          <w:color w:val="000000"/>
          <w:sz w:val="24"/>
          <w:szCs w:val="24"/>
        </w:rPr>
      </w:pPr>
      <w:r w:rsidRPr="2D1CDE2C">
        <w:rPr>
          <w:rFonts w:cs="Arial"/>
          <w:b/>
          <w:bCs/>
          <w:color w:val="000000" w:themeColor="text1"/>
          <w:sz w:val="24"/>
          <w:szCs w:val="24"/>
        </w:rPr>
        <w:t xml:space="preserve">Injunctive </w:t>
      </w:r>
      <w:r w:rsidRPr="2D1CDE2C" w:rsidR="00A10305">
        <w:rPr>
          <w:rFonts w:cs="Arial"/>
          <w:b/>
          <w:bCs/>
          <w:color w:val="000000" w:themeColor="text1"/>
          <w:sz w:val="24"/>
          <w:szCs w:val="24"/>
        </w:rPr>
        <w:t>Actions, Enforcement Orders etc</w:t>
      </w:r>
    </w:p>
    <w:p w:rsidRPr="00532434" w:rsidR="00A10305" w:rsidP="00A10305" w:rsidRDefault="00A10305" w14:paraId="1E42E97E" w14:textId="77777777">
      <w:pPr>
        <w:rPr>
          <w:rFonts w:cs="Arial"/>
          <w:color w:val="000000"/>
          <w:sz w:val="24"/>
          <w:szCs w:val="24"/>
        </w:rPr>
      </w:pPr>
    </w:p>
    <w:p w:rsidRPr="00532434" w:rsidR="00227D1C" w:rsidP="00047D85" w:rsidRDefault="00227D1C" w14:paraId="08044F3C" w14:textId="77777777">
      <w:pPr>
        <w:pStyle w:val="Default"/>
        <w:widowControl/>
        <w:numPr>
          <w:ilvl w:val="2"/>
          <w:numId w:val="22"/>
        </w:numPr>
        <w:spacing w:after="120"/>
        <w:jc w:val="both"/>
      </w:pPr>
      <w:r>
        <w:t>We will consider formal civil enforcement action in pursuance of breaches of law which have a detrimental impact on the collective interests of consumers or businesses.</w:t>
      </w:r>
    </w:p>
    <w:p w:rsidRPr="00532434" w:rsidR="0026240E" w:rsidP="00B169AC" w:rsidRDefault="002378D7" w14:paraId="286056B6" w14:textId="77777777">
      <w:pPr>
        <w:pStyle w:val="Default"/>
        <w:widowControl/>
        <w:numPr>
          <w:ilvl w:val="2"/>
          <w:numId w:val="22"/>
        </w:numPr>
        <w:spacing w:after="120"/>
        <w:jc w:val="both"/>
      </w:pPr>
      <w:r>
        <w:t xml:space="preserve">When considering formal civil enforcement action, an </w:t>
      </w:r>
      <w:r w:rsidR="002404C7">
        <w:t>O</w:t>
      </w:r>
      <w:r>
        <w:t xml:space="preserve">fficer will, where appropriate, first discuss the circumstances with those suspected of a breach and, through consultation, attempt to resolve any issues. </w:t>
      </w:r>
      <w:r w:rsidR="00A8070C">
        <w:t>Alternatively,</w:t>
      </w:r>
      <w:r>
        <w:t xml:space="preserve"> we will look to redress detrimental practices via a range of enforcement actions</w:t>
      </w:r>
      <w:r w:rsidR="0026240E">
        <w:t>. These include the following:</w:t>
      </w:r>
    </w:p>
    <w:p w:rsidR="003942AC" w:rsidP="0026240E" w:rsidRDefault="003942AC" w14:paraId="2A0D79B2" w14:textId="16F1CB2E">
      <w:pPr>
        <w:numPr>
          <w:ilvl w:val="0"/>
          <w:numId w:val="17"/>
        </w:numPr>
        <w:autoSpaceDE w:val="0"/>
        <w:autoSpaceDN w:val="0"/>
        <w:adjustRightInd w:val="0"/>
        <w:rPr>
          <w:rFonts w:cs="Arial"/>
          <w:sz w:val="24"/>
          <w:szCs w:val="24"/>
        </w:rPr>
      </w:pPr>
      <w:r w:rsidRPr="003942AC">
        <w:rPr>
          <w:rFonts w:cs="Arial"/>
          <w:sz w:val="24"/>
          <w:szCs w:val="24"/>
        </w:rPr>
        <w:t>undertakings to us or the court</w:t>
      </w:r>
    </w:p>
    <w:p w:rsidRPr="00532434" w:rsidR="0026240E" w:rsidP="0026240E" w:rsidRDefault="0026240E" w14:paraId="69FC179F" w14:textId="2F7B58E1">
      <w:pPr>
        <w:numPr>
          <w:ilvl w:val="0"/>
          <w:numId w:val="17"/>
        </w:numPr>
        <w:autoSpaceDE w:val="0"/>
        <w:autoSpaceDN w:val="0"/>
        <w:adjustRightInd w:val="0"/>
        <w:rPr>
          <w:rFonts w:cs="Arial"/>
          <w:sz w:val="24"/>
          <w:szCs w:val="24"/>
        </w:rPr>
      </w:pPr>
      <w:r w:rsidRPr="00532434">
        <w:rPr>
          <w:rFonts w:cs="Arial"/>
          <w:sz w:val="24"/>
          <w:szCs w:val="24"/>
        </w:rPr>
        <w:t xml:space="preserve">interim </w:t>
      </w:r>
      <w:r w:rsidRPr="00532434" w:rsidR="00B00FF0">
        <w:rPr>
          <w:rFonts w:cs="Arial"/>
          <w:sz w:val="24"/>
          <w:szCs w:val="24"/>
        </w:rPr>
        <w:t xml:space="preserve">and other court </w:t>
      </w:r>
      <w:r w:rsidRPr="00532434">
        <w:rPr>
          <w:rFonts w:cs="Arial"/>
          <w:sz w:val="24"/>
          <w:szCs w:val="24"/>
        </w:rPr>
        <w:t>orders</w:t>
      </w:r>
    </w:p>
    <w:p w:rsidRPr="00532434" w:rsidR="0026240E" w:rsidP="0026240E" w:rsidRDefault="0026240E" w14:paraId="07232C45" w14:textId="77777777">
      <w:pPr>
        <w:numPr>
          <w:ilvl w:val="0"/>
          <w:numId w:val="17"/>
        </w:numPr>
        <w:autoSpaceDE w:val="0"/>
        <w:autoSpaceDN w:val="0"/>
        <w:adjustRightInd w:val="0"/>
        <w:rPr>
          <w:rFonts w:cs="Arial"/>
          <w:sz w:val="24"/>
          <w:szCs w:val="24"/>
        </w:rPr>
      </w:pPr>
      <w:r w:rsidRPr="00532434">
        <w:rPr>
          <w:rFonts w:cs="Arial"/>
          <w:sz w:val="24"/>
          <w:szCs w:val="24"/>
        </w:rPr>
        <w:t>contempt proceedings</w:t>
      </w:r>
      <w:r w:rsidRPr="00532434" w:rsidR="00A41F0C">
        <w:rPr>
          <w:rFonts w:cs="Arial"/>
          <w:sz w:val="24"/>
          <w:szCs w:val="24"/>
        </w:rPr>
        <w:t>.</w:t>
      </w:r>
    </w:p>
    <w:p w:rsidRPr="00532434" w:rsidR="005628A0" w:rsidP="005628A0" w:rsidRDefault="005628A0" w14:paraId="6B66100E" w14:textId="77777777">
      <w:pPr>
        <w:autoSpaceDE w:val="0"/>
        <w:autoSpaceDN w:val="0"/>
        <w:adjustRightInd w:val="0"/>
        <w:rPr>
          <w:rFonts w:cs="Arial"/>
          <w:sz w:val="24"/>
          <w:szCs w:val="24"/>
        </w:rPr>
      </w:pPr>
    </w:p>
    <w:p w:rsidRPr="00532434" w:rsidR="00B169AC" w:rsidP="00BA137C" w:rsidRDefault="005628A0" w14:paraId="4582E3BE" w14:textId="77777777">
      <w:pPr>
        <w:pStyle w:val="Default"/>
        <w:widowControl/>
        <w:spacing w:after="200"/>
        <w:ind w:left="720"/>
        <w:jc w:val="both"/>
      </w:pPr>
      <w:r w:rsidRPr="00532434">
        <w:t>We may ask the Court to consider other remedies as part of any proceedings, incl</w:t>
      </w:r>
      <w:r w:rsidRPr="00532434" w:rsidR="00B169AC">
        <w:t>uding compensation for victims.</w:t>
      </w:r>
    </w:p>
    <w:p w:rsidRPr="00532434" w:rsidR="00490A40" w:rsidP="00490A40" w:rsidRDefault="00B00FF0" w14:paraId="4967D733" w14:textId="77777777">
      <w:pPr>
        <w:numPr>
          <w:ilvl w:val="1"/>
          <w:numId w:val="22"/>
        </w:numPr>
        <w:rPr>
          <w:rFonts w:cs="Arial"/>
          <w:b/>
          <w:color w:val="000000"/>
          <w:sz w:val="24"/>
          <w:szCs w:val="24"/>
        </w:rPr>
      </w:pPr>
      <w:r w:rsidRPr="2D1CDE2C">
        <w:rPr>
          <w:rFonts w:cs="Arial"/>
          <w:b/>
          <w:bCs/>
          <w:color w:val="000000" w:themeColor="text1"/>
          <w:sz w:val="24"/>
          <w:szCs w:val="24"/>
        </w:rPr>
        <w:t>Oth</w:t>
      </w:r>
      <w:r w:rsidRPr="2D1CDE2C" w:rsidR="00490A40">
        <w:rPr>
          <w:rFonts w:cs="Arial"/>
          <w:b/>
          <w:bCs/>
          <w:color w:val="000000" w:themeColor="text1"/>
          <w:sz w:val="24"/>
          <w:szCs w:val="24"/>
        </w:rPr>
        <w:t>e</w:t>
      </w:r>
      <w:r w:rsidRPr="2D1CDE2C">
        <w:rPr>
          <w:rFonts w:cs="Arial"/>
          <w:b/>
          <w:bCs/>
          <w:color w:val="000000" w:themeColor="text1"/>
          <w:sz w:val="24"/>
          <w:szCs w:val="24"/>
        </w:rPr>
        <w:t>r</w:t>
      </w:r>
      <w:r w:rsidRPr="2D1CDE2C" w:rsidR="00490A40">
        <w:rPr>
          <w:rFonts w:cs="Arial"/>
          <w:b/>
          <w:bCs/>
          <w:color w:val="000000" w:themeColor="text1"/>
          <w:sz w:val="24"/>
          <w:szCs w:val="24"/>
        </w:rPr>
        <w:t xml:space="preserve"> Sanctions</w:t>
      </w:r>
      <w:r w:rsidRPr="2D1CDE2C" w:rsidR="001805D7">
        <w:rPr>
          <w:rFonts w:cs="Arial"/>
          <w:b/>
          <w:bCs/>
          <w:color w:val="000000" w:themeColor="text1"/>
          <w:sz w:val="24"/>
          <w:szCs w:val="24"/>
        </w:rPr>
        <w:t xml:space="preserve"> </w:t>
      </w:r>
      <w:r w:rsidRPr="2D1CDE2C" w:rsidR="003872CA">
        <w:rPr>
          <w:rFonts w:cs="Arial"/>
          <w:b/>
          <w:bCs/>
          <w:color w:val="000000" w:themeColor="text1"/>
          <w:sz w:val="24"/>
          <w:szCs w:val="24"/>
        </w:rPr>
        <w:t>or</w:t>
      </w:r>
      <w:r w:rsidRPr="2D1CDE2C" w:rsidR="001805D7">
        <w:rPr>
          <w:rFonts w:cs="Arial"/>
          <w:b/>
          <w:bCs/>
          <w:color w:val="000000" w:themeColor="text1"/>
          <w:sz w:val="24"/>
          <w:szCs w:val="24"/>
        </w:rPr>
        <w:t xml:space="preserve"> Interventions</w:t>
      </w:r>
    </w:p>
    <w:p w:rsidRPr="00532434" w:rsidR="00490A40" w:rsidP="00490A40" w:rsidRDefault="00490A40" w14:paraId="2FB79DF0" w14:textId="77777777">
      <w:pPr>
        <w:rPr>
          <w:rFonts w:cs="Arial"/>
          <w:color w:val="000000"/>
          <w:sz w:val="24"/>
          <w:szCs w:val="24"/>
        </w:rPr>
      </w:pPr>
    </w:p>
    <w:p w:rsidRPr="00532434" w:rsidR="00A561B8" w:rsidP="00227D1C" w:rsidRDefault="00227D1C" w14:paraId="3232D4EF" w14:textId="77777777">
      <w:pPr>
        <w:pStyle w:val="Default"/>
        <w:widowControl/>
        <w:numPr>
          <w:ilvl w:val="2"/>
          <w:numId w:val="22"/>
        </w:numPr>
        <w:spacing w:after="200"/>
        <w:jc w:val="both"/>
      </w:pPr>
      <w:r>
        <w:t>We</w:t>
      </w:r>
      <w:r w:rsidR="00B00FF0">
        <w:t xml:space="preserve"> will consider other sanctions </w:t>
      </w:r>
      <w:r w:rsidR="003872CA">
        <w:t>or i</w:t>
      </w:r>
      <w:r w:rsidR="001805D7">
        <w:t xml:space="preserve">nterventions </w:t>
      </w:r>
      <w:r w:rsidR="00B00FF0">
        <w:t xml:space="preserve">where legally available </w:t>
      </w:r>
      <w:r w:rsidR="00C75251">
        <w:t xml:space="preserve">and appropriate to do so, </w:t>
      </w:r>
      <w:r w:rsidR="00B00FF0">
        <w:t>including criminal behaviour orders under the Anti-Social Behaviour, Crime and Policing Act 2014, injunctions under the Local Government Act 1972 or equivalent orders to disrupt and/or prevent activities that may contribute to crime or disorder.</w:t>
      </w:r>
      <w:r w:rsidR="003872CA">
        <w:t xml:space="preserve"> This may </w:t>
      </w:r>
      <w:r w:rsidR="003F48CF">
        <w:t xml:space="preserve">also </w:t>
      </w:r>
      <w:r w:rsidR="003872CA">
        <w:t>inclu</w:t>
      </w:r>
      <w:r w:rsidR="003F48CF">
        <w:t xml:space="preserve">de arranging for the removal of </w:t>
      </w:r>
      <w:r w:rsidR="003872CA">
        <w:t>website</w:t>
      </w:r>
      <w:r w:rsidR="003F48CF">
        <w:t>s</w:t>
      </w:r>
      <w:r w:rsidR="003872CA">
        <w:t xml:space="preserve"> where it is clear </w:t>
      </w:r>
      <w:r w:rsidR="003F48CF">
        <w:t>they are</w:t>
      </w:r>
      <w:r w:rsidR="003872CA">
        <w:t xml:space="preserve"> being used for illegal purposes</w:t>
      </w:r>
      <w:r w:rsidR="00A04B4C">
        <w:t>.</w:t>
      </w:r>
    </w:p>
    <w:p w:rsidRPr="00532434" w:rsidR="0026240E" w:rsidP="00490A40" w:rsidRDefault="0026240E" w14:paraId="631F9902" w14:textId="37C5206D">
      <w:pPr>
        <w:numPr>
          <w:ilvl w:val="1"/>
          <w:numId w:val="22"/>
        </w:numPr>
        <w:rPr>
          <w:rFonts w:cs="Arial"/>
          <w:b/>
          <w:color w:val="000000"/>
          <w:sz w:val="24"/>
          <w:szCs w:val="24"/>
        </w:rPr>
      </w:pPr>
      <w:r w:rsidRPr="2D1CDE2C">
        <w:rPr>
          <w:rFonts w:cs="Arial"/>
          <w:b/>
          <w:bCs/>
          <w:color w:val="000000" w:themeColor="text1"/>
          <w:sz w:val="24"/>
          <w:szCs w:val="24"/>
        </w:rPr>
        <w:t>Taking animals into possession</w:t>
      </w:r>
      <w:r w:rsidRPr="2D1CDE2C" w:rsidR="00A10305">
        <w:rPr>
          <w:rFonts w:cs="Arial"/>
          <w:b/>
          <w:bCs/>
          <w:color w:val="000000" w:themeColor="text1"/>
          <w:sz w:val="24"/>
          <w:szCs w:val="24"/>
        </w:rPr>
        <w:t>/</w:t>
      </w:r>
      <w:r w:rsidRPr="2D1CDE2C" w:rsidR="00903D39">
        <w:rPr>
          <w:rFonts w:cs="Arial"/>
          <w:b/>
          <w:bCs/>
          <w:color w:val="000000" w:themeColor="text1"/>
          <w:sz w:val="24"/>
          <w:szCs w:val="24"/>
        </w:rPr>
        <w:t>disqualification</w:t>
      </w:r>
      <w:r w:rsidRPr="2D1CDE2C" w:rsidR="00A10305">
        <w:rPr>
          <w:rFonts w:cs="Arial"/>
          <w:b/>
          <w:bCs/>
          <w:color w:val="000000" w:themeColor="text1"/>
          <w:sz w:val="24"/>
          <w:szCs w:val="24"/>
        </w:rPr>
        <w:t xml:space="preserve"> orders</w:t>
      </w:r>
    </w:p>
    <w:p w:rsidRPr="00532434" w:rsidR="00490A40" w:rsidP="00490A40" w:rsidRDefault="00490A40" w14:paraId="4E3DC6CE" w14:textId="77777777">
      <w:pPr>
        <w:rPr>
          <w:rFonts w:cs="Arial"/>
          <w:b/>
          <w:color w:val="000000"/>
          <w:sz w:val="24"/>
          <w:szCs w:val="24"/>
        </w:rPr>
      </w:pPr>
    </w:p>
    <w:p w:rsidRPr="00532434" w:rsidR="009E15BE" w:rsidP="001C5D61" w:rsidRDefault="00520E70" w14:paraId="59B262D9" w14:textId="15FEAF3C">
      <w:pPr>
        <w:pStyle w:val="Default"/>
        <w:widowControl/>
        <w:numPr>
          <w:ilvl w:val="2"/>
          <w:numId w:val="22"/>
        </w:numPr>
        <w:spacing w:after="200"/>
        <w:jc w:val="both"/>
      </w:pPr>
      <w:r>
        <w:t>Under the Animal Welfare Act 2006, i</w:t>
      </w:r>
      <w:r w:rsidR="0026240E">
        <w:t xml:space="preserve">f a veterinary surgeon certifies that ‘protected animals’ are suffering or are likely to suffer if their circumstances do not change, we will consider taking them into </w:t>
      </w:r>
      <w:r w:rsidR="00B068FD">
        <w:t xml:space="preserve">our </w:t>
      </w:r>
      <w:r w:rsidR="0026240E">
        <w:t>possession and applying for Orders for re-imbursement of expenses incurred and subsequent disposal.</w:t>
      </w:r>
      <w:r w:rsidR="00A10305">
        <w:t xml:space="preserve"> </w:t>
      </w:r>
      <w:r>
        <w:t xml:space="preserve">We may also look to other legislation where appropriate to ensure that </w:t>
      </w:r>
      <w:r w:rsidR="00A5349A">
        <w:t xml:space="preserve">similar </w:t>
      </w:r>
      <w:r>
        <w:t>standards of care and/or control of animals is properly maintained.</w:t>
      </w:r>
      <w:r w:rsidR="001C5D61">
        <w:t xml:space="preserve"> In some circumstances we will also consider applying to the Court to deprive person(s) of the animals seized and/or disqualify them from keeping animals.</w:t>
      </w:r>
    </w:p>
    <w:p w:rsidRPr="00532434" w:rsidR="006F2804" w:rsidP="00C33262" w:rsidRDefault="006F2804" w14:paraId="3B37EA52" w14:textId="77777777">
      <w:pPr>
        <w:numPr>
          <w:ilvl w:val="1"/>
          <w:numId w:val="22"/>
        </w:numPr>
        <w:rPr>
          <w:rFonts w:cs="Arial"/>
          <w:b/>
          <w:color w:val="000000"/>
          <w:sz w:val="24"/>
          <w:szCs w:val="24"/>
        </w:rPr>
      </w:pPr>
      <w:r w:rsidRPr="2D1CDE2C">
        <w:rPr>
          <w:rFonts w:cs="Arial"/>
          <w:b/>
          <w:bCs/>
          <w:color w:val="000000" w:themeColor="text1"/>
          <w:sz w:val="24"/>
          <w:szCs w:val="24"/>
        </w:rPr>
        <w:t>Simple Cautions</w:t>
      </w:r>
    </w:p>
    <w:p w:rsidRPr="00532434" w:rsidR="00C33262" w:rsidP="00C33262" w:rsidRDefault="00C33262" w14:paraId="6B252BD8" w14:textId="77777777">
      <w:pPr>
        <w:rPr>
          <w:rFonts w:cs="Arial"/>
          <w:b/>
          <w:i/>
          <w:color w:val="000000"/>
          <w:sz w:val="24"/>
          <w:szCs w:val="24"/>
        </w:rPr>
      </w:pPr>
    </w:p>
    <w:p w:rsidRPr="00532434" w:rsidR="00C33262" w:rsidP="00EE1B40" w:rsidRDefault="006F2804" w14:paraId="0C0FF86E" w14:textId="441D2852">
      <w:pPr>
        <w:pStyle w:val="Default"/>
        <w:widowControl/>
        <w:numPr>
          <w:ilvl w:val="2"/>
          <w:numId w:val="22"/>
        </w:numPr>
        <w:spacing w:after="200"/>
        <w:jc w:val="both"/>
      </w:pPr>
      <w:r>
        <w:t xml:space="preserve">In certain </w:t>
      </w:r>
      <w:r w:rsidR="00CB0362">
        <w:t>cases,</w:t>
      </w:r>
      <w:r>
        <w:t xml:space="preserve"> a simple caution may be offered as an alternative to a prosecution</w:t>
      </w:r>
      <w:r w:rsidR="0082551A">
        <w:t xml:space="preserve">, for example </w:t>
      </w:r>
      <w:r w:rsidRPr="2D1CDE2C" w:rsidR="0082551A">
        <w:rPr>
          <w:lang w:eastAsia="en-US"/>
        </w:rPr>
        <w:t>for first time offending.</w:t>
      </w:r>
      <w:r w:rsidRPr="2D1CDE2C" w:rsidR="0082551A">
        <w:rPr>
          <w:color w:val="1F497D"/>
          <w:lang w:eastAsia="en-US"/>
        </w:rPr>
        <w:t> </w:t>
      </w:r>
      <w:r>
        <w:t>The purpose of a simple caution is to deal quickly with less serious offences, to divert less serious offences away from the Courts, and to reduce the chances of repeat offences.</w:t>
      </w:r>
    </w:p>
    <w:p w:rsidRPr="00532434" w:rsidR="006F2804" w:rsidP="00B068FD" w:rsidRDefault="006F2804" w14:paraId="5BBA4A48" w14:textId="77777777">
      <w:pPr>
        <w:pStyle w:val="Default"/>
        <w:widowControl/>
        <w:numPr>
          <w:ilvl w:val="2"/>
          <w:numId w:val="22"/>
        </w:numPr>
        <w:spacing w:after="120"/>
        <w:jc w:val="both"/>
      </w:pPr>
      <w:r>
        <w:t>Officers will comply with the provisions of relevant Home Office Circulars. The following conditions must be fulfilled before a caution is administered:</w:t>
      </w:r>
    </w:p>
    <w:p w:rsidRPr="00532434" w:rsidR="00B068FD" w:rsidP="00B068FD" w:rsidRDefault="006F2804" w14:paraId="14C0A073" w14:textId="77777777">
      <w:pPr>
        <w:numPr>
          <w:ilvl w:val="0"/>
          <w:numId w:val="18"/>
        </w:numPr>
        <w:shd w:val="clear" w:color="auto" w:fill="FFFFFF"/>
        <w:rPr>
          <w:rFonts w:cs="Arial"/>
          <w:color w:val="000000"/>
          <w:sz w:val="24"/>
          <w:szCs w:val="24"/>
        </w:rPr>
      </w:pPr>
      <w:r w:rsidRPr="00532434">
        <w:rPr>
          <w:rFonts w:cs="Arial"/>
          <w:color w:val="000000"/>
          <w:sz w:val="24"/>
          <w:szCs w:val="24"/>
        </w:rPr>
        <w:t>The offender has made</w:t>
      </w:r>
      <w:r w:rsidRPr="00532434" w:rsidR="00B068FD">
        <w:rPr>
          <w:rFonts w:cs="Arial"/>
          <w:color w:val="000000"/>
          <w:sz w:val="24"/>
          <w:szCs w:val="24"/>
        </w:rPr>
        <w:t xml:space="preserve"> a clear and reliable admission</w:t>
      </w:r>
    </w:p>
    <w:p w:rsidRPr="00532434" w:rsidR="006F2804" w:rsidP="006F2804" w:rsidRDefault="006F2804" w14:paraId="3CD80BA8" w14:textId="77777777">
      <w:pPr>
        <w:numPr>
          <w:ilvl w:val="0"/>
          <w:numId w:val="18"/>
        </w:numPr>
        <w:shd w:val="clear" w:color="auto" w:fill="FFFFFF"/>
        <w:rPr>
          <w:rFonts w:cs="Arial"/>
          <w:color w:val="000000"/>
          <w:sz w:val="24"/>
          <w:szCs w:val="24"/>
        </w:rPr>
      </w:pPr>
      <w:r w:rsidRPr="00532434">
        <w:rPr>
          <w:rFonts w:cs="Arial"/>
          <w:color w:val="000000"/>
          <w:sz w:val="24"/>
          <w:szCs w:val="24"/>
        </w:rPr>
        <w:t>There is a realistic prospect of conviction</w:t>
      </w:r>
    </w:p>
    <w:p w:rsidRPr="00532434" w:rsidR="006F2804" w:rsidP="006F2804" w:rsidRDefault="006F2804" w14:paraId="4744087E" w14:textId="77777777">
      <w:pPr>
        <w:numPr>
          <w:ilvl w:val="0"/>
          <w:numId w:val="18"/>
        </w:numPr>
        <w:shd w:val="clear" w:color="auto" w:fill="FFFFFF"/>
        <w:rPr>
          <w:rFonts w:cs="Arial"/>
          <w:color w:val="000000"/>
          <w:sz w:val="24"/>
          <w:szCs w:val="24"/>
        </w:rPr>
      </w:pPr>
      <w:r w:rsidRPr="00532434">
        <w:rPr>
          <w:rFonts w:cs="Arial"/>
          <w:color w:val="000000"/>
          <w:sz w:val="24"/>
          <w:szCs w:val="24"/>
        </w:rPr>
        <w:t>It is in the public interest to offer a simple caution; and</w:t>
      </w:r>
    </w:p>
    <w:p w:rsidRPr="00532434" w:rsidR="006F2804" w:rsidP="006F2804" w:rsidRDefault="006F2804" w14:paraId="1806A929" w14:textId="77777777">
      <w:pPr>
        <w:numPr>
          <w:ilvl w:val="0"/>
          <w:numId w:val="18"/>
        </w:numPr>
        <w:shd w:val="clear" w:color="auto" w:fill="FFFFFF"/>
        <w:rPr>
          <w:rFonts w:cs="Arial"/>
          <w:color w:val="000000"/>
          <w:sz w:val="24"/>
          <w:szCs w:val="24"/>
        </w:rPr>
      </w:pPr>
      <w:r w:rsidRPr="00532434">
        <w:rPr>
          <w:rFonts w:cs="Arial"/>
          <w:sz w:val="24"/>
          <w:szCs w:val="24"/>
        </w:rPr>
        <w:t xml:space="preserve">The offender is 18 years </w:t>
      </w:r>
      <w:r w:rsidRPr="00532434" w:rsidR="0036049A">
        <w:rPr>
          <w:rFonts w:cs="Arial"/>
          <w:sz w:val="24"/>
          <w:szCs w:val="24"/>
        </w:rPr>
        <w:t xml:space="preserve">old </w:t>
      </w:r>
      <w:r w:rsidRPr="00532434">
        <w:rPr>
          <w:rFonts w:cs="Arial"/>
          <w:sz w:val="24"/>
          <w:szCs w:val="24"/>
        </w:rPr>
        <w:t xml:space="preserve">or </w:t>
      </w:r>
      <w:r w:rsidRPr="00532434" w:rsidR="0036049A">
        <w:rPr>
          <w:rFonts w:cs="Arial"/>
          <w:sz w:val="24"/>
          <w:szCs w:val="24"/>
        </w:rPr>
        <w:t>older</w:t>
      </w:r>
      <w:r w:rsidRPr="00532434">
        <w:rPr>
          <w:rFonts w:cs="Arial"/>
          <w:sz w:val="24"/>
          <w:szCs w:val="24"/>
        </w:rPr>
        <w:t xml:space="preserve"> at the time that the caution is to be administered</w:t>
      </w:r>
      <w:r w:rsidRPr="00532434" w:rsidR="0036049A">
        <w:rPr>
          <w:rFonts w:cs="Arial"/>
          <w:sz w:val="24"/>
          <w:szCs w:val="24"/>
        </w:rPr>
        <w:t>.</w:t>
      </w:r>
    </w:p>
    <w:p w:rsidRPr="00532434" w:rsidR="00C33262" w:rsidP="00C33262" w:rsidRDefault="00C33262" w14:paraId="52944623" w14:textId="77777777">
      <w:pPr>
        <w:shd w:val="clear" w:color="auto" w:fill="FFFFFF"/>
        <w:ind w:left="720"/>
        <w:rPr>
          <w:rFonts w:cs="Arial"/>
          <w:color w:val="000000"/>
          <w:sz w:val="24"/>
          <w:szCs w:val="24"/>
        </w:rPr>
      </w:pPr>
    </w:p>
    <w:p w:rsidRPr="00F95016" w:rsidR="00B068FD" w:rsidP="007D3F92" w:rsidRDefault="006F2804" w14:paraId="1D53880E" w14:textId="6A5B91A5">
      <w:pPr>
        <w:pStyle w:val="Default"/>
        <w:widowControl/>
        <w:numPr>
          <w:ilvl w:val="2"/>
          <w:numId w:val="22"/>
        </w:numPr>
        <w:spacing w:after="200"/>
        <w:jc w:val="both"/>
      </w:pPr>
      <w:r>
        <w:t xml:space="preserve">A simple caution </w:t>
      </w:r>
      <w:r w:rsidR="007B2E0B">
        <w:t xml:space="preserve">may </w:t>
      </w:r>
      <w:r>
        <w:t xml:space="preserve">appear on the offender’s criminal record. It is likely to influence how </w:t>
      </w:r>
      <w:r w:rsidR="00227D1C">
        <w:t xml:space="preserve">we </w:t>
      </w:r>
      <w:r>
        <w:t>and other</w:t>
      </w:r>
      <w:r w:rsidR="00227D1C">
        <w:t xml:space="preserve"> enforcement agencies </w:t>
      </w:r>
      <w:r>
        <w:t xml:space="preserve">deal with any similar breaches in the </w:t>
      </w:r>
      <w:r w:rsidR="00742A48">
        <w:t>future and</w:t>
      </w:r>
      <w:r>
        <w:t xml:space="preserve"> may be cited in court if the offender is subsequently prosecuted for a similar offence. If a simple caution is issued to an individual (rather than a corporation) it may have consequences if that individual seeks certain types of </w:t>
      </w:r>
      <w:r w:rsidR="00742A48">
        <w:t>employment or</w:t>
      </w:r>
      <w:r w:rsidR="009300B9">
        <w:t xml:space="preserve"> wishes to travel or </w:t>
      </w:r>
      <w:r w:rsidR="00774226">
        <w:t xml:space="preserve">move </w:t>
      </w:r>
      <w:r w:rsidR="009300B9">
        <w:t>to certain countries.</w:t>
      </w:r>
      <w:r w:rsidRPr="2D1CDE2C" w:rsidR="007407D8">
        <w:rPr>
          <w:color w:val="FF0000"/>
        </w:rPr>
        <w:t xml:space="preserve"> </w:t>
      </w:r>
      <w:r>
        <w:t xml:space="preserve">Simple cautions will be </w:t>
      </w:r>
      <w:r w:rsidR="009300B9">
        <w:t>i</w:t>
      </w:r>
      <w:r w:rsidR="00312B6C">
        <w:t xml:space="preserve">ssued </w:t>
      </w:r>
      <w:r w:rsidRPr="2D1CDE2C" w:rsidR="00312B6C">
        <w:rPr>
          <w:rFonts w:eastAsia="Arial"/>
          <w:color w:val="auto"/>
        </w:rPr>
        <w:t>with regard to</w:t>
      </w:r>
      <w:r w:rsidRPr="2D1CDE2C" w:rsidR="00533381">
        <w:rPr>
          <w:rFonts w:eastAsia="Arial"/>
          <w:color w:val="auto"/>
        </w:rPr>
        <w:t xml:space="preserve"> </w:t>
      </w:r>
      <w:r w:rsidRPr="2D1CDE2C" w:rsidR="34A60D72">
        <w:rPr>
          <w:rFonts w:eastAsia="Arial"/>
          <w:color w:val="auto"/>
        </w:rPr>
        <w:t>Ministry of Justice and Crown Prosecution Service guidance</w:t>
      </w:r>
      <w:r w:rsidRPr="2D1CDE2C">
        <w:rPr>
          <w:rFonts w:eastAsia="Arial"/>
          <w:color w:val="auto"/>
        </w:rPr>
        <w:t>.</w:t>
      </w:r>
    </w:p>
    <w:p w:rsidR="00F95016" w:rsidP="00F95016" w:rsidRDefault="00F95016" w14:paraId="43A082EF" w14:textId="77777777">
      <w:pPr>
        <w:pStyle w:val="Default"/>
        <w:widowControl/>
        <w:spacing w:after="200"/>
        <w:ind w:left="720"/>
        <w:jc w:val="both"/>
      </w:pPr>
    </w:p>
    <w:p w:rsidRPr="00532434" w:rsidR="00F95016" w:rsidP="00F95016" w:rsidRDefault="00F95016" w14:paraId="4D2CB2A0" w14:textId="77777777">
      <w:pPr>
        <w:pStyle w:val="Default"/>
        <w:widowControl/>
        <w:spacing w:after="200"/>
        <w:ind w:left="720"/>
        <w:jc w:val="both"/>
      </w:pPr>
    </w:p>
    <w:p w:rsidRPr="00532434" w:rsidR="001D63F4" w:rsidP="001D63F4" w:rsidRDefault="002378D7" w14:paraId="289744AC" w14:textId="77777777">
      <w:pPr>
        <w:numPr>
          <w:ilvl w:val="1"/>
          <w:numId w:val="22"/>
        </w:numPr>
        <w:rPr>
          <w:rFonts w:cs="Arial"/>
          <w:b/>
          <w:color w:val="000000"/>
          <w:sz w:val="24"/>
          <w:szCs w:val="24"/>
        </w:rPr>
      </w:pPr>
      <w:r w:rsidRPr="2D1CDE2C">
        <w:rPr>
          <w:rFonts w:cs="Arial"/>
          <w:b/>
          <w:bCs/>
          <w:color w:val="000000" w:themeColor="text1"/>
          <w:sz w:val="24"/>
          <w:szCs w:val="24"/>
        </w:rPr>
        <w:lastRenderedPageBreak/>
        <w:t>Prosecution</w:t>
      </w:r>
    </w:p>
    <w:p w:rsidRPr="00532434" w:rsidR="001D63F4" w:rsidP="001D63F4" w:rsidRDefault="001D63F4" w14:paraId="4E324E2E" w14:textId="77777777">
      <w:pPr>
        <w:rPr>
          <w:rFonts w:cs="Arial"/>
          <w:color w:val="000000"/>
          <w:sz w:val="24"/>
          <w:szCs w:val="24"/>
        </w:rPr>
      </w:pPr>
    </w:p>
    <w:p w:rsidRPr="00532434" w:rsidR="00D53C43" w:rsidP="00CB0362" w:rsidRDefault="00227D1C" w14:paraId="7AEE106D" w14:textId="77777777">
      <w:pPr>
        <w:numPr>
          <w:ilvl w:val="2"/>
          <w:numId w:val="22"/>
        </w:numPr>
        <w:jc w:val="both"/>
        <w:rPr>
          <w:rFonts w:cs="Arial"/>
          <w:b/>
          <w:color w:val="000000"/>
          <w:sz w:val="24"/>
          <w:szCs w:val="24"/>
        </w:rPr>
      </w:pPr>
      <w:r w:rsidRPr="2D1CDE2C">
        <w:rPr>
          <w:rFonts w:cs="Arial"/>
          <w:sz w:val="24"/>
          <w:szCs w:val="24"/>
        </w:rPr>
        <w:t>We</w:t>
      </w:r>
      <w:r w:rsidRPr="2D1CDE2C" w:rsidR="00A64AA7">
        <w:rPr>
          <w:rFonts w:cs="Arial"/>
          <w:sz w:val="24"/>
          <w:szCs w:val="24"/>
        </w:rPr>
        <w:t xml:space="preserve"> may prosecute in respect of serious or recurrent breaches, or where other enforcement actions, such </w:t>
      </w:r>
      <w:r w:rsidRPr="2D1CDE2C" w:rsidR="00F528D0">
        <w:rPr>
          <w:rFonts w:cs="Arial"/>
          <w:sz w:val="24"/>
          <w:szCs w:val="24"/>
        </w:rPr>
        <w:t xml:space="preserve">as </w:t>
      </w:r>
      <w:r w:rsidRPr="2D1CDE2C" w:rsidR="00A64AA7">
        <w:rPr>
          <w:rFonts w:cs="Arial"/>
          <w:sz w:val="24"/>
          <w:szCs w:val="24"/>
        </w:rPr>
        <w:t xml:space="preserve">statutory notices have failed to secure compliance. </w:t>
      </w:r>
      <w:r w:rsidRPr="2D1CDE2C" w:rsidR="008B52A0">
        <w:rPr>
          <w:rFonts w:cs="Arial"/>
          <w:sz w:val="24"/>
          <w:szCs w:val="24"/>
        </w:rPr>
        <w:t xml:space="preserve">The </w:t>
      </w:r>
      <w:r w:rsidRPr="2D1CDE2C" w:rsidR="008B52A0">
        <w:rPr>
          <w:rFonts w:cs="Arial"/>
          <w:color w:val="000000" w:themeColor="text1"/>
          <w:sz w:val="24"/>
          <w:szCs w:val="24"/>
        </w:rPr>
        <w:t>Council</w:t>
      </w:r>
      <w:r w:rsidRPr="2D1CDE2C" w:rsidR="008B52A0">
        <w:rPr>
          <w:rFonts w:cs="Arial"/>
          <w:sz w:val="24"/>
          <w:szCs w:val="24"/>
        </w:rPr>
        <w:t xml:space="preserve"> recognises that the decision to prosecute is significant and could have far reaching consequences on the offender.</w:t>
      </w:r>
    </w:p>
    <w:p w:rsidRPr="00532434" w:rsidR="00D53C43" w:rsidP="00D53C43" w:rsidRDefault="00D53C43" w14:paraId="19F91E03" w14:textId="77777777">
      <w:pPr>
        <w:ind w:left="720"/>
        <w:rPr>
          <w:rFonts w:cs="Arial"/>
          <w:b/>
          <w:color w:val="000000"/>
          <w:sz w:val="24"/>
          <w:szCs w:val="24"/>
        </w:rPr>
      </w:pPr>
    </w:p>
    <w:p w:rsidRPr="00532434" w:rsidR="00BE7764" w:rsidP="00F35828" w:rsidRDefault="00D53C43" w14:paraId="050108AC" w14:textId="7D1A2971">
      <w:pPr>
        <w:numPr>
          <w:ilvl w:val="2"/>
          <w:numId w:val="22"/>
        </w:numPr>
        <w:spacing w:after="200"/>
        <w:jc w:val="both"/>
        <w:rPr>
          <w:rFonts w:cs="Arial"/>
          <w:color w:val="000000"/>
          <w:sz w:val="24"/>
          <w:szCs w:val="24"/>
        </w:rPr>
      </w:pPr>
      <w:r w:rsidRPr="2D1CDE2C">
        <w:rPr>
          <w:rFonts w:cs="Arial"/>
          <w:color w:val="000000" w:themeColor="text1"/>
          <w:sz w:val="24"/>
          <w:szCs w:val="24"/>
        </w:rPr>
        <w:t xml:space="preserve">Before a decision to prosecute is taken, the alleged offence(s) will be investigated, a report compiled by the Investigating Officer and the </w:t>
      </w:r>
      <w:r w:rsidRPr="2D1CDE2C" w:rsidR="004C4AE0">
        <w:rPr>
          <w:rFonts w:cs="Arial"/>
          <w:color w:val="000000" w:themeColor="text1"/>
          <w:sz w:val="24"/>
          <w:szCs w:val="24"/>
        </w:rPr>
        <w:t xml:space="preserve">file </w:t>
      </w:r>
      <w:r w:rsidRPr="2D1CDE2C">
        <w:rPr>
          <w:rFonts w:cs="Arial"/>
          <w:color w:val="000000" w:themeColor="text1"/>
          <w:sz w:val="24"/>
          <w:szCs w:val="24"/>
        </w:rPr>
        <w:t>reviewed by a Senior Manager</w:t>
      </w:r>
      <w:r w:rsidRPr="2D1CDE2C" w:rsidR="00C826F3">
        <w:rPr>
          <w:rFonts w:cs="Arial"/>
          <w:color w:val="000000" w:themeColor="text1"/>
          <w:sz w:val="24"/>
          <w:szCs w:val="24"/>
        </w:rPr>
        <w:t xml:space="preserve"> for legal decision</w:t>
      </w:r>
      <w:r w:rsidRPr="2D1CDE2C">
        <w:rPr>
          <w:rFonts w:cs="Arial"/>
          <w:color w:val="000000" w:themeColor="text1"/>
          <w:sz w:val="24"/>
          <w:szCs w:val="24"/>
        </w:rPr>
        <w:t xml:space="preserve">. </w:t>
      </w:r>
      <w:r w:rsidRPr="2D1CDE2C" w:rsidR="00BE7764">
        <w:rPr>
          <w:rFonts w:cs="Arial"/>
          <w:sz w:val="24"/>
          <w:szCs w:val="24"/>
        </w:rPr>
        <w:t>A prosecution will only be considered if the sufficiency of the evidence and the public interest fall</w:t>
      </w:r>
      <w:r w:rsidRPr="2D1CDE2C" w:rsidR="00BA137C">
        <w:rPr>
          <w:rFonts w:cs="Arial"/>
          <w:sz w:val="24"/>
          <w:szCs w:val="24"/>
        </w:rPr>
        <w:t>s</w:t>
      </w:r>
      <w:r w:rsidRPr="2D1CDE2C" w:rsidR="00BE7764">
        <w:rPr>
          <w:rFonts w:cs="Arial"/>
          <w:sz w:val="24"/>
          <w:szCs w:val="24"/>
        </w:rPr>
        <w:t xml:space="preserve"> within the guidelines as laid down by the Attorney General and Crown Prosecution Service </w:t>
      </w:r>
      <w:hyperlink r:id="rId13">
        <w:r w:rsidRPr="2D1CDE2C" w:rsidR="00BE7764">
          <w:rPr>
            <w:rStyle w:val="Hyperlink"/>
            <w:rFonts w:cs="Arial"/>
            <w:sz w:val="24"/>
            <w:szCs w:val="24"/>
          </w:rPr>
          <w:t>Code for Crown Prosecutors</w:t>
        </w:r>
      </w:hyperlink>
      <w:r w:rsidRPr="2D1CDE2C" w:rsidR="00BE7764">
        <w:rPr>
          <w:rFonts w:cs="Arial"/>
          <w:sz w:val="24"/>
          <w:szCs w:val="24"/>
        </w:rPr>
        <w:t>.</w:t>
      </w:r>
    </w:p>
    <w:p w:rsidR="00051142" w:rsidP="00051142" w:rsidRDefault="008B52A0" w14:paraId="220476F7" w14:textId="77777777">
      <w:pPr>
        <w:numPr>
          <w:ilvl w:val="2"/>
          <w:numId w:val="22"/>
        </w:numPr>
        <w:spacing w:after="120"/>
        <w:jc w:val="both"/>
        <w:rPr>
          <w:rFonts w:cs="Arial"/>
          <w:sz w:val="24"/>
          <w:szCs w:val="24"/>
        </w:rPr>
      </w:pPr>
      <w:r w:rsidRPr="2D1CDE2C">
        <w:rPr>
          <w:rFonts w:cs="Arial"/>
          <w:sz w:val="24"/>
          <w:szCs w:val="24"/>
        </w:rPr>
        <w:t xml:space="preserve"> </w:t>
      </w:r>
      <w:r w:rsidRPr="2D1CDE2C" w:rsidR="00051142">
        <w:rPr>
          <w:rFonts w:cs="Arial"/>
          <w:sz w:val="24"/>
          <w:szCs w:val="24"/>
        </w:rPr>
        <w:t xml:space="preserve">Any decision to prosecute will be taken: </w:t>
      </w:r>
    </w:p>
    <w:p w:rsidRPr="00051142" w:rsidR="00051142" w:rsidP="00051142" w:rsidRDefault="00051142" w14:paraId="799EDDCA" w14:textId="24EFE3D7">
      <w:pPr>
        <w:pStyle w:val="ListParagraph"/>
        <w:numPr>
          <w:ilvl w:val="0"/>
          <w:numId w:val="46"/>
        </w:numPr>
        <w:spacing w:after="120"/>
        <w:jc w:val="both"/>
        <w:rPr>
          <w:rFonts w:ascii="Arial" w:hAnsi="Arial" w:cs="Arial"/>
          <w:sz w:val="24"/>
          <w:szCs w:val="24"/>
        </w:rPr>
      </w:pPr>
      <w:r w:rsidRPr="00051142">
        <w:rPr>
          <w:rFonts w:ascii="Arial" w:hAnsi="Arial" w:cs="Arial"/>
          <w:sz w:val="24"/>
          <w:szCs w:val="24"/>
        </w:rPr>
        <w:t xml:space="preserve">where it is expedient for the promotion or protection of the interests of the inhabitants of Suffolk to do so (Section 222 of the Local Government Act 1972), or </w:t>
      </w:r>
    </w:p>
    <w:p w:rsidRPr="00051142" w:rsidR="00051142" w:rsidP="00051142" w:rsidRDefault="00051142" w14:paraId="053042CB" w14:textId="5BA8CB87">
      <w:pPr>
        <w:pStyle w:val="ListParagraph"/>
        <w:numPr>
          <w:ilvl w:val="0"/>
          <w:numId w:val="46"/>
        </w:numPr>
        <w:spacing w:after="120"/>
        <w:jc w:val="both"/>
        <w:rPr>
          <w:rFonts w:ascii="Arial" w:hAnsi="Arial" w:cs="Arial"/>
          <w:color w:val="000000"/>
          <w:sz w:val="24"/>
          <w:szCs w:val="24"/>
        </w:rPr>
      </w:pPr>
      <w:r w:rsidRPr="00051142">
        <w:rPr>
          <w:rFonts w:ascii="Arial" w:hAnsi="Arial" w:cs="Arial"/>
          <w:sz w:val="24"/>
          <w:szCs w:val="24"/>
        </w:rPr>
        <w:t>where we have another express power to prosecute, and the use of that power is appropriate to the circumstances.</w:t>
      </w:r>
    </w:p>
    <w:p w:rsidRPr="00532434" w:rsidR="008B04D6" w:rsidP="00051142" w:rsidRDefault="008B04D6" w14:paraId="13B66F13" w14:textId="38B7FB4B">
      <w:pPr>
        <w:spacing w:after="120"/>
        <w:ind w:left="720"/>
        <w:jc w:val="both"/>
        <w:rPr>
          <w:rFonts w:cs="Arial"/>
          <w:color w:val="000000"/>
          <w:sz w:val="24"/>
          <w:szCs w:val="24"/>
        </w:rPr>
      </w:pPr>
      <w:r w:rsidRPr="00532434">
        <w:rPr>
          <w:rFonts w:cs="Arial"/>
          <w:color w:val="000000"/>
          <w:sz w:val="24"/>
          <w:szCs w:val="24"/>
        </w:rPr>
        <w:t>Before making a decision whether or not to prosecute, consideration will also be given to:</w:t>
      </w:r>
    </w:p>
    <w:p w:rsidRPr="00532434" w:rsidR="008B04D6" w:rsidP="00CB0362" w:rsidRDefault="008B04D6" w14:paraId="58CFF568"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 xml:space="preserve">How well the prosecution supports </w:t>
      </w:r>
      <w:r w:rsidRPr="00532434" w:rsidR="00227D1C">
        <w:rPr>
          <w:rFonts w:cs="Arial"/>
          <w:color w:val="000000"/>
          <w:sz w:val="24"/>
          <w:szCs w:val="24"/>
        </w:rPr>
        <w:t>our</w:t>
      </w:r>
      <w:r w:rsidRPr="00532434">
        <w:rPr>
          <w:rFonts w:cs="Arial"/>
          <w:color w:val="000000"/>
          <w:sz w:val="24"/>
          <w:szCs w:val="24"/>
        </w:rPr>
        <w:t xml:space="preserve"> aims and priorities</w:t>
      </w:r>
    </w:p>
    <w:p w:rsidRPr="00532434" w:rsidR="00D53C43" w:rsidP="00CB0362" w:rsidRDefault="00D53C43" w14:paraId="3D0677E4" w14:textId="7CEABE6A">
      <w:pPr>
        <w:numPr>
          <w:ilvl w:val="0"/>
          <w:numId w:val="18"/>
        </w:numPr>
        <w:shd w:val="clear" w:color="auto" w:fill="FFFFFF"/>
        <w:jc w:val="both"/>
        <w:rPr>
          <w:rFonts w:cs="Arial"/>
          <w:color w:val="000000"/>
          <w:sz w:val="24"/>
          <w:szCs w:val="24"/>
        </w:rPr>
      </w:pPr>
      <w:r w:rsidRPr="00532434">
        <w:rPr>
          <w:rFonts w:cs="Arial"/>
          <w:color w:val="000000"/>
          <w:sz w:val="24"/>
          <w:szCs w:val="24"/>
        </w:rPr>
        <w:t>The factors contained in paragraph</w:t>
      </w:r>
      <w:r w:rsidRPr="00532434" w:rsidR="000C18BC">
        <w:rPr>
          <w:rFonts w:cs="Arial"/>
          <w:color w:val="000000"/>
          <w:sz w:val="24"/>
          <w:szCs w:val="24"/>
        </w:rPr>
        <w:t>s</w:t>
      </w:r>
      <w:r w:rsidRPr="00532434">
        <w:rPr>
          <w:rFonts w:cs="Arial"/>
          <w:color w:val="000000"/>
          <w:sz w:val="24"/>
          <w:szCs w:val="24"/>
        </w:rPr>
        <w:t xml:space="preserve"> 4.</w:t>
      </w:r>
      <w:r w:rsidRPr="00532434" w:rsidR="00C85CA1">
        <w:rPr>
          <w:rFonts w:cs="Arial"/>
          <w:color w:val="000000"/>
          <w:sz w:val="24"/>
          <w:szCs w:val="24"/>
        </w:rPr>
        <w:t>2 and 4.</w:t>
      </w:r>
      <w:r w:rsidRPr="00532434" w:rsidR="008F1C72">
        <w:rPr>
          <w:rFonts w:cs="Arial"/>
          <w:color w:val="000000"/>
          <w:sz w:val="24"/>
          <w:szCs w:val="24"/>
        </w:rPr>
        <w:t>1</w:t>
      </w:r>
      <w:r w:rsidRPr="00532434" w:rsidR="00CB0362">
        <w:rPr>
          <w:rFonts w:cs="Arial"/>
          <w:color w:val="000000"/>
          <w:sz w:val="24"/>
          <w:szCs w:val="24"/>
        </w:rPr>
        <w:t>2</w:t>
      </w:r>
      <w:r w:rsidR="00C727F4">
        <w:rPr>
          <w:rFonts w:cs="Arial"/>
          <w:color w:val="000000"/>
          <w:sz w:val="24"/>
          <w:szCs w:val="24"/>
        </w:rPr>
        <w:t xml:space="preserve"> </w:t>
      </w:r>
      <w:r w:rsidRPr="00532434">
        <w:rPr>
          <w:rFonts w:cs="Arial"/>
          <w:color w:val="000000"/>
          <w:sz w:val="24"/>
          <w:szCs w:val="24"/>
        </w:rPr>
        <w:t>of this policy</w:t>
      </w:r>
    </w:p>
    <w:p w:rsidRPr="00532434" w:rsidR="008B04D6" w:rsidP="00CB0362" w:rsidRDefault="008B04D6" w14:paraId="3C3228E4"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 xml:space="preserve">Action taken by other enforcement agencies </w:t>
      </w:r>
      <w:r w:rsidRPr="00532434" w:rsidR="00D53C43">
        <w:rPr>
          <w:rFonts w:cs="Arial"/>
          <w:color w:val="000000"/>
          <w:sz w:val="24"/>
          <w:szCs w:val="24"/>
        </w:rPr>
        <w:t xml:space="preserve">for </w:t>
      </w:r>
      <w:r w:rsidRPr="00532434">
        <w:rPr>
          <w:rFonts w:cs="Arial"/>
          <w:color w:val="000000"/>
          <w:sz w:val="24"/>
          <w:szCs w:val="24"/>
        </w:rPr>
        <w:t>the same facts</w:t>
      </w:r>
    </w:p>
    <w:p w:rsidRPr="00532434" w:rsidR="008B04D6" w:rsidP="00CB0362" w:rsidRDefault="00D53C43" w14:paraId="6B577C1B"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 xml:space="preserve">The nature and extent of any harm or loss, including potential harm and loss, and any </w:t>
      </w:r>
      <w:r w:rsidRPr="00532434" w:rsidR="008B04D6">
        <w:rPr>
          <w:rFonts w:cs="Arial"/>
          <w:color w:val="000000"/>
          <w:sz w:val="24"/>
          <w:szCs w:val="24"/>
        </w:rPr>
        <w:t xml:space="preserve">offer of redress made by the offender to </w:t>
      </w:r>
      <w:r w:rsidRPr="00532434">
        <w:rPr>
          <w:rFonts w:cs="Arial"/>
          <w:color w:val="000000"/>
          <w:sz w:val="24"/>
          <w:szCs w:val="24"/>
        </w:rPr>
        <w:t>victims</w:t>
      </w:r>
    </w:p>
    <w:p w:rsidRPr="00532434" w:rsidR="00D53C43" w:rsidP="00CB0362" w:rsidRDefault="00D53C43" w14:paraId="16410A60"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The willingness of the alleged offender to prevent a recurrence of the infringement</w:t>
      </w:r>
    </w:p>
    <w:p w:rsidRPr="00532434" w:rsidR="008B04D6" w:rsidP="00CB0362" w:rsidRDefault="008B04D6" w14:paraId="5837D45F"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The likelihood of the alleged offender being able to establish a statutory defence</w:t>
      </w:r>
    </w:p>
    <w:p w:rsidRPr="00532434" w:rsidR="008B04D6" w:rsidP="00CB0362" w:rsidRDefault="008B04D6" w14:paraId="70DB35FF"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The calib</w:t>
      </w:r>
      <w:r w:rsidRPr="00532434" w:rsidR="00F009B4">
        <w:rPr>
          <w:rFonts w:cs="Arial"/>
          <w:color w:val="000000"/>
          <w:sz w:val="24"/>
          <w:szCs w:val="24"/>
        </w:rPr>
        <w:t>re and reliability of witnesses</w:t>
      </w:r>
    </w:p>
    <w:p w:rsidRPr="00532434" w:rsidR="008B04D6" w:rsidP="00CB0362" w:rsidRDefault="008B04D6" w14:paraId="24B370A6"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The probable public benefit of a prosecution and the importance of the case, e.g. the possibility of establishing legal precedent</w:t>
      </w:r>
    </w:p>
    <w:p w:rsidRPr="00532434" w:rsidR="008B04D6" w:rsidP="00CB0362" w:rsidRDefault="008B04D6" w14:paraId="12F55145"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Cost</w:t>
      </w:r>
      <w:r w:rsidRPr="00532434" w:rsidR="00F009B4">
        <w:rPr>
          <w:rFonts w:cs="Arial"/>
          <w:color w:val="000000"/>
          <w:sz w:val="24"/>
          <w:szCs w:val="24"/>
        </w:rPr>
        <w:t xml:space="preserve"> effectiveness of a prosecution</w:t>
      </w:r>
    </w:p>
    <w:p w:rsidRPr="00532434" w:rsidR="008B04D6" w:rsidP="00CB0362" w:rsidRDefault="008B04D6" w14:paraId="683B8A0C"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The scope for alternative routes for redress for ‘victims’ and their likelihood of success</w:t>
      </w:r>
    </w:p>
    <w:p w:rsidRPr="00532434" w:rsidR="008B04D6" w:rsidP="00CB0362" w:rsidRDefault="008B04D6" w14:paraId="4F2BE139" w14:textId="77777777">
      <w:pPr>
        <w:numPr>
          <w:ilvl w:val="0"/>
          <w:numId w:val="18"/>
        </w:numPr>
        <w:shd w:val="clear" w:color="auto" w:fill="FFFFFF"/>
        <w:jc w:val="both"/>
        <w:rPr>
          <w:rFonts w:cs="Arial"/>
          <w:color w:val="000000"/>
          <w:sz w:val="24"/>
          <w:szCs w:val="24"/>
        </w:rPr>
      </w:pPr>
      <w:r w:rsidRPr="00532434">
        <w:rPr>
          <w:rFonts w:cs="Arial"/>
          <w:color w:val="000000"/>
          <w:sz w:val="24"/>
          <w:szCs w:val="24"/>
        </w:rPr>
        <w:t>The impact of the intervention on small businesses in particular, to ensure action is proportionate</w:t>
      </w:r>
      <w:r w:rsidRPr="00532434" w:rsidR="000C62AD">
        <w:rPr>
          <w:rFonts w:cs="Arial"/>
          <w:color w:val="000000"/>
          <w:sz w:val="24"/>
          <w:szCs w:val="24"/>
        </w:rPr>
        <w:t>.</w:t>
      </w:r>
    </w:p>
    <w:p w:rsidRPr="00532434" w:rsidR="008B52A0" w:rsidP="00CB0362" w:rsidRDefault="008B52A0" w14:paraId="616C3301" w14:textId="77777777">
      <w:pPr>
        <w:shd w:val="clear" w:color="auto" w:fill="FFFFFF"/>
        <w:ind w:left="720"/>
        <w:jc w:val="both"/>
        <w:rPr>
          <w:rFonts w:cs="Arial"/>
          <w:color w:val="000000"/>
          <w:sz w:val="24"/>
          <w:szCs w:val="24"/>
        </w:rPr>
      </w:pPr>
    </w:p>
    <w:p w:rsidRPr="00532434" w:rsidR="00F009B4" w:rsidP="00BA137C" w:rsidRDefault="008B52A0" w14:paraId="0EED8B67" w14:textId="7E33654A">
      <w:pPr>
        <w:spacing w:after="200"/>
        <w:ind w:left="720"/>
        <w:jc w:val="both"/>
        <w:rPr>
          <w:rFonts w:cs="Arial"/>
          <w:color w:val="000000"/>
          <w:sz w:val="24"/>
          <w:szCs w:val="24"/>
        </w:rPr>
      </w:pPr>
      <w:r w:rsidRPr="00532434">
        <w:rPr>
          <w:rFonts w:cs="Arial"/>
          <w:sz w:val="24"/>
          <w:szCs w:val="24"/>
        </w:rPr>
        <w:t xml:space="preserve">A </w:t>
      </w:r>
      <w:r w:rsidRPr="00532434" w:rsidR="00C75251">
        <w:rPr>
          <w:rFonts w:cs="Arial"/>
          <w:sz w:val="24"/>
          <w:szCs w:val="24"/>
        </w:rPr>
        <w:t>conviction</w:t>
      </w:r>
      <w:r w:rsidRPr="00532434">
        <w:rPr>
          <w:rFonts w:cs="Arial"/>
          <w:sz w:val="24"/>
          <w:szCs w:val="24"/>
        </w:rPr>
        <w:t xml:space="preserve"> </w:t>
      </w:r>
      <w:r w:rsidRPr="00532434" w:rsidR="009D655E">
        <w:rPr>
          <w:rFonts w:cs="Arial"/>
          <w:sz w:val="24"/>
          <w:szCs w:val="24"/>
        </w:rPr>
        <w:t xml:space="preserve">can </w:t>
      </w:r>
      <w:r w:rsidRPr="00532434" w:rsidR="00C75251">
        <w:rPr>
          <w:rFonts w:cs="Arial"/>
          <w:sz w:val="24"/>
          <w:szCs w:val="24"/>
        </w:rPr>
        <w:t>result in a criminal record and t</w:t>
      </w:r>
      <w:r w:rsidRPr="00532434">
        <w:rPr>
          <w:rFonts w:cs="Arial"/>
          <w:sz w:val="24"/>
          <w:szCs w:val="24"/>
        </w:rPr>
        <w:t xml:space="preserve">he court may impose a fine and, for particularly serious breaches, a prison sentence. The court may order the forfeiture and disposal of non-compliant goods and/or the confiscation of </w:t>
      </w:r>
      <w:r w:rsidRPr="00532434" w:rsidR="005628A0">
        <w:rPr>
          <w:rFonts w:cs="Arial"/>
          <w:sz w:val="24"/>
          <w:szCs w:val="24"/>
        </w:rPr>
        <w:t xml:space="preserve">assets. </w:t>
      </w:r>
      <w:r w:rsidRPr="00532434">
        <w:rPr>
          <w:rFonts w:cs="Arial"/>
          <w:sz w:val="24"/>
          <w:szCs w:val="24"/>
        </w:rPr>
        <w:t xml:space="preserve">Prosecution may also lead, in some circumstances, to the disqualification of individuals </w:t>
      </w:r>
      <w:r w:rsidRPr="00532434" w:rsidR="00C234D6">
        <w:rPr>
          <w:rFonts w:cs="Arial"/>
          <w:sz w:val="24"/>
          <w:szCs w:val="24"/>
        </w:rPr>
        <w:t>from acting as company directo</w:t>
      </w:r>
      <w:r w:rsidRPr="00532434" w:rsidR="00F35828">
        <w:rPr>
          <w:rFonts w:cs="Arial"/>
          <w:sz w:val="24"/>
          <w:szCs w:val="24"/>
        </w:rPr>
        <w:t>rs (see 4.</w:t>
      </w:r>
      <w:r w:rsidRPr="00532434" w:rsidR="00863A58">
        <w:rPr>
          <w:rFonts w:cs="Arial"/>
          <w:sz w:val="24"/>
          <w:szCs w:val="24"/>
        </w:rPr>
        <w:t>2</w:t>
      </w:r>
      <w:r w:rsidRPr="00532434" w:rsidR="00CB0362">
        <w:rPr>
          <w:rFonts w:cs="Arial"/>
          <w:sz w:val="24"/>
          <w:szCs w:val="24"/>
        </w:rPr>
        <w:t>8</w:t>
      </w:r>
      <w:r w:rsidRPr="00532434" w:rsidR="00863A58">
        <w:rPr>
          <w:rFonts w:cs="Arial"/>
          <w:sz w:val="24"/>
          <w:szCs w:val="24"/>
        </w:rPr>
        <w:t xml:space="preserve"> </w:t>
      </w:r>
      <w:r w:rsidRPr="00532434" w:rsidR="00C234D6">
        <w:rPr>
          <w:rFonts w:cs="Arial"/>
          <w:sz w:val="24"/>
          <w:szCs w:val="24"/>
        </w:rPr>
        <w:t>below).</w:t>
      </w:r>
    </w:p>
    <w:p w:rsidRPr="00532434" w:rsidR="007B1B81" w:rsidP="00C33262" w:rsidRDefault="00676723" w14:paraId="4A09A052" w14:textId="77777777">
      <w:pPr>
        <w:numPr>
          <w:ilvl w:val="1"/>
          <w:numId w:val="22"/>
        </w:numPr>
        <w:rPr>
          <w:rFonts w:cs="Arial"/>
          <w:b/>
          <w:color w:val="000000"/>
          <w:sz w:val="24"/>
          <w:szCs w:val="24"/>
        </w:rPr>
      </w:pPr>
      <w:r w:rsidRPr="2D1CDE2C">
        <w:rPr>
          <w:rFonts w:cs="Arial"/>
          <w:b/>
          <w:bCs/>
          <w:color w:val="000000" w:themeColor="text1"/>
          <w:sz w:val="24"/>
          <w:szCs w:val="24"/>
        </w:rPr>
        <w:t>Proceeds of Crime Actions</w:t>
      </w:r>
    </w:p>
    <w:p w:rsidRPr="00532434" w:rsidR="00C33262" w:rsidP="00C33262" w:rsidRDefault="00C33262" w14:paraId="6E584294" w14:textId="77777777">
      <w:pPr>
        <w:rPr>
          <w:rFonts w:cs="Arial"/>
          <w:color w:val="000000"/>
          <w:sz w:val="24"/>
          <w:szCs w:val="24"/>
        </w:rPr>
      </w:pPr>
    </w:p>
    <w:p w:rsidRPr="00532434" w:rsidR="00C33262" w:rsidP="0047070B" w:rsidRDefault="00676723" w14:paraId="4AFF0AF8" w14:textId="77777777">
      <w:pPr>
        <w:numPr>
          <w:ilvl w:val="2"/>
          <w:numId w:val="22"/>
        </w:numPr>
        <w:spacing w:after="200"/>
        <w:jc w:val="both"/>
        <w:rPr>
          <w:rFonts w:cs="Arial"/>
          <w:color w:val="000000"/>
          <w:sz w:val="24"/>
          <w:szCs w:val="24"/>
        </w:rPr>
      </w:pPr>
      <w:r w:rsidRPr="2D1CDE2C">
        <w:rPr>
          <w:rFonts w:cs="Arial"/>
          <w:sz w:val="24"/>
          <w:szCs w:val="24"/>
        </w:rPr>
        <w:t xml:space="preserve">Where appropriate, </w:t>
      </w:r>
      <w:r w:rsidRPr="2D1CDE2C" w:rsidR="000B6003">
        <w:rPr>
          <w:rFonts w:cs="Arial"/>
          <w:sz w:val="24"/>
          <w:szCs w:val="24"/>
        </w:rPr>
        <w:t xml:space="preserve">we will seek to recover the </w:t>
      </w:r>
      <w:r w:rsidRPr="2D1CDE2C">
        <w:rPr>
          <w:rFonts w:cs="Arial"/>
          <w:sz w:val="24"/>
          <w:szCs w:val="24"/>
        </w:rPr>
        <w:t xml:space="preserve">benefit that the offender has obtained from </w:t>
      </w:r>
      <w:r w:rsidRPr="2D1CDE2C" w:rsidR="005628A0">
        <w:rPr>
          <w:rFonts w:cs="Arial"/>
          <w:sz w:val="24"/>
          <w:szCs w:val="24"/>
        </w:rPr>
        <w:t>their</w:t>
      </w:r>
      <w:r w:rsidRPr="2D1CDE2C" w:rsidR="000B6003">
        <w:rPr>
          <w:rFonts w:cs="Arial"/>
          <w:sz w:val="24"/>
          <w:szCs w:val="24"/>
        </w:rPr>
        <w:t xml:space="preserve"> criminal conduct through financial investigation.</w:t>
      </w:r>
    </w:p>
    <w:p w:rsidRPr="00532434" w:rsidR="00C234D6" w:rsidP="00C249F8" w:rsidRDefault="000B6003" w14:paraId="3554B8D1" w14:textId="77777777">
      <w:pPr>
        <w:numPr>
          <w:ilvl w:val="2"/>
          <w:numId w:val="22"/>
        </w:numPr>
        <w:spacing w:after="200"/>
        <w:jc w:val="both"/>
        <w:rPr>
          <w:rFonts w:cs="Arial"/>
          <w:sz w:val="24"/>
          <w:szCs w:val="24"/>
        </w:rPr>
      </w:pPr>
      <w:r w:rsidRPr="2D1CDE2C">
        <w:rPr>
          <w:rFonts w:cs="Arial"/>
          <w:sz w:val="24"/>
          <w:szCs w:val="24"/>
        </w:rPr>
        <w:lastRenderedPageBreak/>
        <w:t>Financial investigations will be undertaken in accordance with the Proceeds of Crime Act</w:t>
      </w:r>
      <w:r w:rsidRPr="2D1CDE2C" w:rsidR="00DE0007">
        <w:rPr>
          <w:rFonts w:cs="Arial"/>
          <w:sz w:val="24"/>
          <w:szCs w:val="24"/>
        </w:rPr>
        <w:t xml:space="preserve"> 2002</w:t>
      </w:r>
      <w:r w:rsidRPr="2D1CDE2C">
        <w:rPr>
          <w:rFonts w:cs="Arial"/>
          <w:sz w:val="24"/>
          <w:szCs w:val="24"/>
        </w:rPr>
        <w:t xml:space="preserve">. Such investigations may include applications to the Court requiring financial information to be provided (production orders) or in serious cases applications to freeze and/or confiscate criminal assets (restraint and confiscation orders). </w:t>
      </w:r>
      <w:r w:rsidRPr="2D1CDE2C" w:rsidR="00182927">
        <w:rPr>
          <w:rFonts w:cs="Arial"/>
          <w:sz w:val="24"/>
          <w:szCs w:val="24"/>
        </w:rPr>
        <w:t>Where appropriate</w:t>
      </w:r>
      <w:r w:rsidRPr="2D1CDE2C" w:rsidR="00DE0007">
        <w:rPr>
          <w:rFonts w:cs="Arial"/>
          <w:sz w:val="24"/>
          <w:szCs w:val="24"/>
        </w:rPr>
        <w:t>,</w:t>
      </w:r>
      <w:r w:rsidRPr="2D1CDE2C" w:rsidR="00182927">
        <w:rPr>
          <w:rFonts w:cs="Arial"/>
          <w:sz w:val="24"/>
          <w:szCs w:val="24"/>
        </w:rPr>
        <w:t xml:space="preserve"> consideration will also be given to seek compensation for victim losses as pa</w:t>
      </w:r>
      <w:r w:rsidRPr="2D1CDE2C" w:rsidR="00DE0007">
        <w:rPr>
          <w:rFonts w:cs="Arial"/>
          <w:sz w:val="24"/>
          <w:szCs w:val="24"/>
        </w:rPr>
        <w:t xml:space="preserve">rt of </w:t>
      </w:r>
      <w:r w:rsidRPr="2D1CDE2C" w:rsidR="00AE72AF">
        <w:rPr>
          <w:rFonts w:cs="Arial"/>
          <w:sz w:val="24"/>
          <w:szCs w:val="24"/>
        </w:rPr>
        <w:t>this process.</w:t>
      </w:r>
    </w:p>
    <w:p w:rsidRPr="00532434" w:rsidR="0017646D" w:rsidP="00F528D0" w:rsidRDefault="00DE0007" w14:paraId="0E42F2E9" w14:textId="77777777">
      <w:pPr>
        <w:numPr>
          <w:ilvl w:val="1"/>
          <w:numId w:val="22"/>
        </w:numPr>
        <w:rPr>
          <w:rFonts w:cs="Arial"/>
          <w:b/>
          <w:color w:val="000000"/>
          <w:sz w:val="24"/>
          <w:szCs w:val="24"/>
        </w:rPr>
      </w:pPr>
      <w:r w:rsidRPr="2D1CDE2C">
        <w:rPr>
          <w:rFonts w:cs="Arial"/>
          <w:b/>
          <w:bCs/>
          <w:color w:val="000000" w:themeColor="text1"/>
          <w:sz w:val="24"/>
          <w:szCs w:val="24"/>
        </w:rPr>
        <w:t>Directors</w:t>
      </w:r>
    </w:p>
    <w:p w:rsidRPr="00532434" w:rsidR="0017646D" w:rsidRDefault="0017646D" w14:paraId="396D84F9" w14:textId="77777777">
      <w:pPr>
        <w:rPr>
          <w:rFonts w:cs="Arial"/>
          <w:color w:val="000000"/>
          <w:sz w:val="24"/>
          <w:szCs w:val="24"/>
        </w:rPr>
      </w:pPr>
    </w:p>
    <w:p w:rsidRPr="00532434" w:rsidR="003B17BA" w:rsidP="00CB0362" w:rsidRDefault="0017646D" w14:paraId="3993245E" w14:textId="2B8484EB">
      <w:pPr>
        <w:spacing w:after="200"/>
        <w:ind w:left="720"/>
        <w:jc w:val="both"/>
        <w:rPr>
          <w:rFonts w:cs="Arial"/>
          <w:color w:val="000000"/>
          <w:sz w:val="24"/>
          <w:szCs w:val="24"/>
        </w:rPr>
      </w:pPr>
      <w:r w:rsidRPr="00532434">
        <w:rPr>
          <w:rFonts w:cs="Arial"/>
          <w:color w:val="000000"/>
          <w:sz w:val="24"/>
          <w:szCs w:val="24"/>
        </w:rPr>
        <w:t>On the conviction of a Director connected with the management of a company the prosecutor will, in appropriate cases, draw to the Court’s attention their powers to make a Disqualification Order under the Company Directors Disqualification Act 1986.</w:t>
      </w:r>
      <w:r w:rsidRPr="00532434" w:rsidR="009264E8">
        <w:rPr>
          <w:rFonts w:cs="Arial"/>
          <w:color w:val="000000"/>
          <w:sz w:val="24"/>
          <w:szCs w:val="24"/>
        </w:rPr>
        <w:t xml:space="preserve"> </w:t>
      </w:r>
    </w:p>
    <w:p w:rsidRPr="00532434" w:rsidR="00FB5826" w:rsidP="00CB0362" w:rsidRDefault="00FB5826" w14:paraId="5CE6F0CE" w14:textId="77777777">
      <w:pPr>
        <w:spacing w:after="200"/>
        <w:ind w:left="720"/>
        <w:jc w:val="both"/>
        <w:rPr>
          <w:rFonts w:cs="Arial"/>
          <w:color w:val="000000"/>
          <w:sz w:val="24"/>
          <w:szCs w:val="24"/>
        </w:rPr>
      </w:pPr>
    </w:p>
    <w:p w:rsidRPr="00532434" w:rsidR="00C33262" w:rsidP="00C33262" w:rsidRDefault="00AC4894" w14:paraId="48B46D2D" w14:textId="77777777">
      <w:pPr>
        <w:numPr>
          <w:ilvl w:val="0"/>
          <w:numId w:val="22"/>
        </w:numPr>
        <w:rPr>
          <w:rFonts w:cs="Arial"/>
          <w:b/>
          <w:bCs/>
          <w:color w:val="000000"/>
          <w:sz w:val="28"/>
          <w:szCs w:val="28"/>
        </w:rPr>
      </w:pPr>
      <w:r w:rsidRPr="00532434">
        <w:rPr>
          <w:rFonts w:cs="Arial"/>
          <w:b/>
          <w:bCs/>
          <w:color w:val="000000"/>
          <w:sz w:val="28"/>
          <w:szCs w:val="28"/>
        </w:rPr>
        <w:t>Complaints, Compliments and Comments</w:t>
      </w:r>
    </w:p>
    <w:p w:rsidRPr="00532434" w:rsidR="00DB038E" w:rsidP="00DB038E" w:rsidRDefault="00DB038E" w14:paraId="4CCD3FDF" w14:textId="77777777">
      <w:pPr>
        <w:rPr>
          <w:rFonts w:cs="Arial"/>
          <w:b/>
          <w:color w:val="000000"/>
          <w:sz w:val="24"/>
          <w:szCs w:val="24"/>
        </w:rPr>
      </w:pPr>
    </w:p>
    <w:p w:rsidRPr="00532434" w:rsidR="00D37E73" w:rsidP="002F7BCD" w:rsidRDefault="00D37E73" w14:paraId="791836C2" w14:textId="77777777">
      <w:pPr>
        <w:numPr>
          <w:ilvl w:val="1"/>
          <w:numId w:val="22"/>
        </w:numPr>
        <w:spacing w:after="200"/>
        <w:jc w:val="both"/>
        <w:rPr>
          <w:rFonts w:cs="Arial"/>
          <w:sz w:val="24"/>
          <w:szCs w:val="24"/>
        </w:rPr>
      </w:pPr>
      <w:r w:rsidRPr="00532434">
        <w:rPr>
          <w:rFonts w:cs="Arial"/>
          <w:sz w:val="24"/>
          <w:szCs w:val="24"/>
        </w:rPr>
        <w:t>If you are unhappy with the service you have received, or we have failed to live</w:t>
      </w:r>
      <w:r w:rsidRPr="00532434" w:rsidR="00AC4894">
        <w:rPr>
          <w:rFonts w:cs="Arial"/>
          <w:sz w:val="24"/>
          <w:szCs w:val="24"/>
        </w:rPr>
        <w:t xml:space="preserve"> </w:t>
      </w:r>
      <w:r w:rsidRPr="00532434">
        <w:rPr>
          <w:rFonts w:cs="Arial"/>
          <w:sz w:val="24"/>
          <w:szCs w:val="24"/>
        </w:rPr>
        <w:t>up to our promises, managers are always willing to discuss with you the cause</w:t>
      </w:r>
      <w:r w:rsidRPr="00532434" w:rsidR="00AC4894">
        <w:rPr>
          <w:rFonts w:cs="Arial"/>
          <w:sz w:val="24"/>
          <w:szCs w:val="24"/>
        </w:rPr>
        <w:t xml:space="preserve"> </w:t>
      </w:r>
      <w:r w:rsidRPr="00532434">
        <w:rPr>
          <w:rFonts w:cs="Arial"/>
          <w:sz w:val="24"/>
          <w:szCs w:val="24"/>
        </w:rPr>
        <w:t>of your dissatisfaction, and will try to find a solution.</w:t>
      </w:r>
    </w:p>
    <w:p w:rsidRPr="00532434" w:rsidR="0096651A" w:rsidP="002F7BCD" w:rsidRDefault="00D37E73" w14:paraId="30F9AE22" w14:textId="2B302779">
      <w:pPr>
        <w:numPr>
          <w:ilvl w:val="1"/>
          <w:numId w:val="22"/>
        </w:numPr>
        <w:spacing w:after="200"/>
        <w:jc w:val="both"/>
        <w:rPr>
          <w:rFonts w:cs="Arial"/>
          <w:sz w:val="24"/>
          <w:szCs w:val="24"/>
        </w:rPr>
      </w:pPr>
      <w:r w:rsidRPr="00532434">
        <w:rPr>
          <w:rFonts w:cs="Arial"/>
          <w:color w:val="000000"/>
          <w:sz w:val="24"/>
          <w:szCs w:val="24"/>
        </w:rPr>
        <w:t>If you wish to make a complaint or send us a compliment or comment about our</w:t>
      </w:r>
      <w:r w:rsidRPr="00532434" w:rsidR="00AC4894">
        <w:rPr>
          <w:rFonts w:cs="Arial"/>
          <w:color w:val="000000"/>
          <w:sz w:val="24"/>
          <w:szCs w:val="24"/>
        </w:rPr>
        <w:t xml:space="preserve"> </w:t>
      </w:r>
      <w:r w:rsidRPr="00532434" w:rsidR="00742A48">
        <w:rPr>
          <w:rFonts w:cs="Arial"/>
          <w:color w:val="000000"/>
          <w:sz w:val="24"/>
          <w:szCs w:val="24"/>
        </w:rPr>
        <w:t>service,</w:t>
      </w:r>
      <w:r w:rsidRPr="00532434" w:rsidR="0096651A">
        <w:rPr>
          <w:rFonts w:cs="Arial"/>
          <w:color w:val="000000"/>
          <w:sz w:val="24"/>
          <w:szCs w:val="24"/>
        </w:rPr>
        <w:t xml:space="preserve"> please use </w:t>
      </w:r>
      <w:r w:rsidRPr="00532434" w:rsidR="00F6212D">
        <w:rPr>
          <w:rFonts w:cs="Arial"/>
          <w:color w:val="000000"/>
          <w:sz w:val="24"/>
          <w:szCs w:val="24"/>
        </w:rPr>
        <w:t>our</w:t>
      </w:r>
      <w:r w:rsidRPr="00532434" w:rsidR="0096651A">
        <w:rPr>
          <w:rFonts w:cs="Arial"/>
          <w:color w:val="000000"/>
          <w:sz w:val="24"/>
          <w:szCs w:val="24"/>
        </w:rPr>
        <w:t xml:space="preserve"> online procedure by going to:</w:t>
      </w:r>
    </w:p>
    <w:p w:rsidRPr="00532434" w:rsidR="00D7047B" w:rsidP="002F7BCD" w:rsidRDefault="00F95016" w14:paraId="33CB8B15" w14:textId="1B23CC83">
      <w:pPr>
        <w:autoSpaceDE w:val="0"/>
        <w:autoSpaceDN w:val="0"/>
        <w:adjustRightInd w:val="0"/>
        <w:ind w:left="720"/>
        <w:jc w:val="both"/>
        <w:rPr>
          <w:rFonts w:cs="Arial"/>
          <w:color w:val="0065FF"/>
          <w:sz w:val="24"/>
          <w:szCs w:val="24"/>
        </w:rPr>
      </w:pPr>
      <w:hyperlink w:history="1" r:id="rId14">
        <w:r w:rsidRPr="00532434" w:rsidR="00D7047B">
          <w:rPr>
            <w:rStyle w:val="Hyperlink"/>
            <w:rFonts w:cs="Arial"/>
            <w:sz w:val="24"/>
            <w:szCs w:val="24"/>
          </w:rPr>
          <w:t>https://www.suffolk.gov.uk/about/give-feedback-or-make-a-complaint/</w:t>
        </w:r>
      </w:hyperlink>
    </w:p>
    <w:p w:rsidRPr="00532434" w:rsidR="009E4E2C" w:rsidP="002F7BCD" w:rsidRDefault="009E4E2C" w14:paraId="22A361FF" w14:textId="77777777">
      <w:pPr>
        <w:autoSpaceDE w:val="0"/>
        <w:autoSpaceDN w:val="0"/>
        <w:adjustRightInd w:val="0"/>
        <w:ind w:firstLine="720"/>
        <w:jc w:val="both"/>
        <w:rPr>
          <w:rFonts w:cs="Arial"/>
          <w:color w:val="0065FF"/>
          <w:sz w:val="24"/>
          <w:szCs w:val="24"/>
        </w:rPr>
      </w:pPr>
    </w:p>
    <w:p w:rsidRPr="00532434" w:rsidR="00D7047B" w:rsidP="002F7BCD" w:rsidRDefault="00D7047B" w14:paraId="70F34468" w14:textId="4769872B">
      <w:pPr>
        <w:autoSpaceDE w:val="0"/>
        <w:autoSpaceDN w:val="0"/>
        <w:adjustRightInd w:val="0"/>
        <w:ind w:left="720"/>
        <w:jc w:val="both"/>
        <w:rPr>
          <w:rFonts w:cs="Arial"/>
          <w:sz w:val="24"/>
          <w:szCs w:val="24"/>
        </w:rPr>
      </w:pPr>
      <w:r w:rsidRPr="00532434">
        <w:rPr>
          <w:rFonts w:cs="Arial"/>
          <w:sz w:val="24"/>
          <w:szCs w:val="24"/>
        </w:rPr>
        <w:t>If you need other languages or formats, please call 03456 066 067 to ask for this information in another language, format (such as Braille), audio or large print.</w:t>
      </w:r>
    </w:p>
    <w:p w:rsidRPr="00532434" w:rsidR="00227D1C" w:rsidP="002F7BCD" w:rsidRDefault="00227D1C" w14:paraId="47CBB5A0" w14:textId="77777777">
      <w:pPr>
        <w:autoSpaceDE w:val="0"/>
        <w:autoSpaceDN w:val="0"/>
        <w:adjustRightInd w:val="0"/>
        <w:ind w:firstLine="720"/>
        <w:jc w:val="both"/>
        <w:rPr>
          <w:rFonts w:cs="Arial"/>
          <w:color w:val="0065FF"/>
          <w:sz w:val="24"/>
          <w:szCs w:val="24"/>
        </w:rPr>
      </w:pPr>
    </w:p>
    <w:p w:rsidRPr="00532434" w:rsidR="001A5DB8" w:rsidP="002F7BCD" w:rsidRDefault="00DB038E" w14:paraId="6D0390C4" w14:textId="77777777">
      <w:pPr>
        <w:autoSpaceDE w:val="0"/>
        <w:autoSpaceDN w:val="0"/>
        <w:adjustRightInd w:val="0"/>
        <w:ind w:left="720"/>
        <w:jc w:val="both"/>
        <w:rPr>
          <w:rFonts w:cs="Arial"/>
          <w:color w:val="000000"/>
          <w:sz w:val="24"/>
          <w:szCs w:val="24"/>
        </w:rPr>
      </w:pPr>
      <w:r w:rsidRPr="00532434">
        <w:rPr>
          <w:rFonts w:cs="Arial"/>
          <w:color w:val="000000"/>
          <w:sz w:val="24"/>
          <w:szCs w:val="24"/>
        </w:rPr>
        <w:t xml:space="preserve">If you are still not satisfied, and feel you have been caused injustice, </w:t>
      </w:r>
      <w:r w:rsidRPr="00532434" w:rsidR="00EE2A89">
        <w:rPr>
          <w:rFonts w:cs="Arial"/>
          <w:color w:val="000000"/>
          <w:sz w:val="24"/>
          <w:szCs w:val="24"/>
        </w:rPr>
        <w:t xml:space="preserve">our complaints process explains how the matter will be escalated, including </w:t>
      </w:r>
      <w:r w:rsidRPr="00532434">
        <w:rPr>
          <w:rFonts w:cs="Arial"/>
          <w:color w:val="000000"/>
          <w:sz w:val="24"/>
          <w:szCs w:val="24"/>
        </w:rPr>
        <w:t>how to complain to the Local Government Ombudsman</w:t>
      </w:r>
      <w:r w:rsidRPr="00532434" w:rsidR="009E4E2C">
        <w:rPr>
          <w:rFonts w:cs="Arial"/>
          <w:color w:val="000000"/>
          <w:sz w:val="24"/>
          <w:szCs w:val="24"/>
        </w:rPr>
        <w:t>.</w:t>
      </w:r>
    </w:p>
    <w:p w:rsidRPr="00532434" w:rsidR="001A5DB8" w:rsidP="002F7BCD" w:rsidRDefault="001A5DB8" w14:paraId="3CD5A0A5" w14:textId="77777777">
      <w:pPr>
        <w:autoSpaceDE w:val="0"/>
        <w:autoSpaceDN w:val="0"/>
        <w:adjustRightInd w:val="0"/>
        <w:jc w:val="both"/>
        <w:rPr>
          <w:rFonts w:cs="Arial"/>
          <w:color w:val="000000"/>
          <w:sz w:val="24"/>
          <w:szCs w:val="24"/>
        </w:rPr>
      </w:pPr>
    </w:p>
    <w:p w:rsidRPr="00532434" w:rsidR="001A5DB8" w:rsidP="002F7BCD" w:rsidRDefault="001A5DB8" w14:paraId="3CEE0478" w14:textId="301C1CEE">
      <w:pPr>
        <w:numPr>
          <w:ilvl w:val="1"/>
          <w:numId w:val="22"/>
        </w:numPr>
        <w:autoSpaceDE w:val="0"/>
        <w:autoSpaceDN w:val="0"/>
        <w:adjustRightInd w:val="0"/>
        <w:jc w:val="both"/>
        <w:rPr>
          <w:rFonts w:cs="Arial"/>
          <w:color w:val="000000"/>
          <w:sz w:val="24"/>
          <w:szCs w:val="24"/>
        </w:rPr>
      </w:pPr>
      <w:r w:rsidRPr="00532434">
        <w:rPr>
          <w:rFonts w:cs="Arial"/>
          <w:color w:val="000000"/>
          <w:sz w:val="24"/>
          <w:szCs w:val="24"/>
        </w:rPr>
        <w:t xml:space="preserve">For complaints/comments/compliments relating to </w:t>
      </w:r>
      <w:r w:rsidRPr="00532434">
        <w:rPr>
          <w:rFonts w:cs="Arial"/>
          <w:b/>
          <w:color w:val="000000"/>
          <w:sz w:val="24"/>
          <w:szCs w:val="24"/>
        </w:rPr>
        <w:t>product safety checks on imported goods</w:t>
      </w:r>
      <w:r w:rsidRPr="00532434">
        <w:rPr>
          <w:rFonts w:cs="Arial"/>
          <w:color w:val="000000"/>
          <w:sz w:val="24"/>
          <w:szCs w:val="24"/>
        </w:rPr>
        <w:t>, please contact</w:t>
      </w:r>
      <w:r w:rsidRPr="00532434" w:rsidR="00B643A6">
        <w:rPr>
          <w:rFonts w:cs="Arial"/>
          <w:color w:val="000000"/>
          <w:sz w:val="24"/>
          <w:szCs w:val="24"/>
        </w:rPr>
        <w:t xml:space="preserve">: </w:t>
      </w:r>
      <w:hyperlink w:history="1" r:id="rId15">
        <w:r w:rsidRPr="00532434" w:rsidR="00B643A6">
          <w:rPr>
            <w:rStyle w:val="Hyperlink"/>
            <w:rFonts w:cs="Arial"/>
            <w:sz w:val="24"/>
            <w:szCs w:val="24"/>
          </w:rPr>
          <w:t>imports@suffolk.gov.uk</w:t>
        </w:r>
      </w:hyperlink>
      <w:r w:rsidRPr="00532434" w:rsidR="00B643A6">
        <w:rPr>
          <w:rFonts w:cs="Arial"/>
          <w:color w:val="000000"/>
          <w:sz w:val="24"/>
          <w:szCs w:val="24"/>
        </w:rPr>
        <w:t xml:space="preserve"> </w:t>
      </w:r>
      <w:r w:rsidRPr="00532434">
        <w:rPr>
          <w:rFonts w:cs="Arial"/>
          <w:color w:val="000000"/>
          <w:sz w:val="24"/>
          <w:szCs w:val="24"/>
        </w:rPr>
        <w:t xml:space="preserve"> </w:t>
      </w:r>
      <w:r w:rsidRPr="00532434" w:rsidR="009E4E2C">
        <w:rPr>
          <w:rFonts w:cs="Arial"/>
          <w:color w:val="000000"/>
          <w:sz w:val="24"/>
          <w:szCs w:val="24"/>
        </w:rPr>
        <w:t xml:space="preserve"> </w:t>
      </w:r>
    </w:p>
    <w:p w:rsidRPr="00532434" w:rsidR="001A5DB8" w:rsidP="002F7BCD" w:rsidRDefault="001A5DB8" w14:paraId="122E3F52" w14:textId="77777777">
      <w:pPr>
        <w:autoSpaceDE w:val="0"/>
        <w:autoSpaceDN w:val="0"/>
        <w:adjustRightInd w:val="0"/>
        <w:jc w:val="both"/>
        <w:rPr>
          <w:rFonts w:cs="Arial"/>
          <w:color w:val="000000"/>
          <w:sz w:val="24"/>
          <w:szCs w:val="24"/>
        </w:rPr>
      </w:pPr>
    </w:p>
    <w:p w:rsidRPr="00532434" w:rsidR="003652E8" w:rsidP="002F7BCD" w:rsidRDefault="001A5DB8" w14:paraId="133FEA75" w14:textId="418E95C7">
      <w:pPr>
        <w:autoSpaceDE w:val="0"/>
        <w:autoSpaceDN w:val="0"/>
        <w:adjustRightInd w:val="0"/>
        <w:ind w:left="720" w:hanging="720"/>
        <w:jc w:val="both"/>
        <w:rPr>
          <w:rFonts w:cs="Arial"/>
        </w:rPr>
      </w:pPr>
      <w:r w:rsidRPr="00532434">
        <w:rPr>
          <w:rFonts w:cs="Arial"/>
          <w:color w:val="000000"/>
          <w:sz w:val="24"/>
          <w:szCs w:val="24"/>
        </w:rPr>
        <w:t>5.4</w:t>
      </w:r>
      <w:r w:rsidRPr="00532434">
        <w:rPr>
          <w:rFonts w:cs="Arial"/>
          <w:color w:val="000000"/>
          <w:sz w:val="24"/>
          <w:szCs w:val="24"/>
        </w:rPr>
        <w:tab/>
      </w:r>
      <w:r w:rsidRPr="00532434" w:rsidR="009E4E2C">
        <w:rPr>
          <w:rFonts w:cs="Arial"/>
          <w:color w:val="000000"/>
          <w:sz w:val="24"/>
          <w:szCs w:val="24"/>
        </w:rPr>
        <w:t>If you wish to appeal against any enforcement action taken or have any other comments about this policy, you should write to</w:t>
      </w:r>
      <w:r w:rsidRPr="00532434" w:rsidR="003652E8">
        <w:rPr>
          <w:rFonts w:cs="Arial"/>
          <w:color w:val="000000"/>
          <w:sz w:val="24"/>
          <w:szCs w:val="24"/>
        </w:rPr>
        <w:t xml:space="preserve"> the Head of Trading Standards, Suffolk County Council, Landmark House, 4 Egerton Road, Ipswich IP1 5PF.</w:t>
      </w:r>
    </w:p>
    <w:p w:rsidRPr="00532434" w:rsidR="003652E8" w:rsidP="002F7BCD" w:rsidRDefault="003652E8" w14:paraId="161250CA" w14:textId="77777777">
      <w:pPr>
        <w:autoSpaceDE w:val="0"/>
        <w:autoSpaceDN w:val="0"/>
        <w:adjustRightInd w:val="0"/>
        <w:jc w:val="both"/>
        <w:rPr>
          <w:rFonts w:cs="Arial"/>
          <w:color w:val="000000"/>
          <w:sz w:val="24"/>
          <w:szCs w:val="24"/>
        </w:rPr>
      </w:pPr>
    </w:p>
    <w:p w:rsidRPr="00532434" w:rsidR="008F1C72" w:rsidP="002F7BCD" w:rsidRDefault="009E4E2C" w14:paraId="1AA82C66" w14:textId="1BDB337D">
      <w:pPr>
        <w:pStyle w:val="Default"/>
        <w:jc w:val="both"/>
      </w:pPr>
      <w:r w:rsidRPr="00532434">
        <w:t xml:space="preserve"> </w:t>
      </w:r>
    </w:p>
    <w:p w:rsidRPr="00532434" w:rsidR="00AC4894" w:rsidP="002F7BCD" w:rsidRDefault="00AC4894" w14:paraId="40BC0F3C" w14:textId="77777777">
      <w:pPr>
        <w:numPr>
          <w:ilvl w:val="0"/>
          <w:numId w:val="22"/>
        </w:numPr>
        <w:jc w:val="both"/>
        <w:rPr>
          <w:rFonts w:cs="Arial"/>
          <w:b/>
          <w:color w:val="000000"/>
          <w:sz w:val="28"/>
          <w:szCs w:val="28"/>
        </w:rPr>
      </w:pPr>
      <w:r w:rsidRPr="00532434">
        <w:rPr>
          <w:rFonts w:cs="Arial"/>
          <w:b/>
          <w:color w:val="000000"/>
          <w:sz w:val="28"/>
          <w:szCs w:val="28"/>
        </w:rPr>
        <w:t>Conflict of Interest in Enforcement Matters</w:t>
      </w:r>
    </w:p>
    <w:p w:rsidRPr="00532434" w:rsidR="00AC4894" w:rsidP="002F7BCD" w:rsidRDefault="00AC4894" w14:paraId="09A143E5" w14:textId="77777777">
      <w:pPr>
        <w:jc w:val="both"/>
        <w:rPr>
          <w:rFonts w:cs="Arial"/>
          <w:color w:val="000000"/>
          <w:sz w:val="24"/>
          <w:szCs w:val="24"/>
        </w:rPr>
      </w:pPr>
    </w:p>
    <w:p w:rsidRPr="00532434" w:rsidR="00AC4894" w:rsidP="002F7BCD" w:rsidRDefault="00AC4894" w14:paraId="0AB66C88" w14:textId="77777777">
      <w:pPr>
        <w:numPr>
          <w:ilvl w:val="1"/>
          <w:numId w:val="22"/>
        </w:numPr>
        <w:jc w:val="both"/>
        <w:rPr>
          <w:rFonts w:cs="Arial"/>
          <w:color w:val="000000"/>
          <w:sz w:val="24"/>
          <w:szCs w:val="24"/>
        </w:rPr>
      </w:pPr>
      <w:r w:rsidRPr="00532434">
        <w:rPr>
          <w:rFonts w:cs="Arial"/>
          <w:color w:val="000000"/>
          <w:sz w:val="24"/>
          <w:szCs w:val="24"/>
        </w:rPr>
        <w:t>Where a breach is detected in which the enforcing authority is itself the responsible operator, for example operating as a food business, the following protocol will be followed:</w:t>
      </w:r>
    </w:p>
    <w:p w:rsidRPr="00532434" w:rsidR="00DB038E" w:rsidP="002F7BCD" w:rsidRDefault="00DB038E" w14:paraId="136E43B3" w14:textId="77777777">
      <w:pPr>
        <w:jc w:val="both"/>
        <w:rPr>
          <w:rFonts w:cs="Arial"/>
          <w:color w:val="000000"/>
          <w:sz w:val="24"/>
          <w:szCs w:val="24"/>
        </w:rPr>
      </w:pPr>
    </w:p>
    <w:p w:rsidRPr="00532434" w:rsidR="00AC4894" w:rsidP="002F7BCD" w:rsidRDefault="00AC4894" w14:paraId="0827D68A" w14:textId="77777777">
      <w:pPr>
        <w:numPr>
          <w:ilvl w:val="0"/>
          <w:numId w:val="32"/>
        </w:numPr>
        <w:jc w:val="both"/>
        <w:rPr>
          <w:rFonts w:cs="Arial"/>
          <w:color w:val="000000"/>
          <w:sz w:val="24"/>
          <w:szCs w:val="24"/>
        </w:rPr>
      </w:pPr>
      <w:r w:rsidRPr="00532434">
        <w:rPr>
          <w:rFonts w:cs="Arial"/>
          <w:color w:val="000000"/>
          <w:sz w:val="24"/>
          <w:szCs w:val="24"/>
        </w:rPr>
        <w:t xml:space="preserve">Where a breach of law is sufficiently serious to warrant more than the provision of advice, information, assistance or a written warning, </w:t>
      </w:r>
      <w:r w:rsidRPr="00532434">
        <w:rPr>
          <w:rStyle w:val="Emphasis"/>
          <w:rFonts w:cs="Arial"/>
          <w:i w:val="0"/>
          <w:color w:val="000000"/>
          <w:sz w:val="24"/>
          <w:szCs w:val="24"/>
        </w:rPr>
        <w:t>or where the response to remedy the breach is considered insufficient</w:t>
      </w:r>
      <w:r w:rsidRPr="00532434">
        <w:rPr>
          <w:rFonts w:cs="Arial"/>
          <w:i/>
          <w:color w:val="000000"/>
          <w:sz w:val="24"/>
          <w:szCs w:val="24"/>
        </w:rPr>
        <w:t>,</w:t>
      </w:r>
      <w:r w:rsidRPr="00532434">
        <w:rPr>
          <w:rFonts w:cs="Arial"/>
          <w:color w:val="000000"/>
          <w:sz w:val="24"/>
          <w:szCs w:val="24"/>
        </w:rPr>
        <w:t xml:space="preserve"> an </w:t>
      </w:r>
      <w:r w:rsidRPr="00532434" w:rsidR="00227D1C">
        <w:rPr>
          <w:rFonts w:cs="Arial"/>
          <w:color w:val="000000"/>
          <w:sz w:val="24"/>
          <w:szCs w:val="24"/>
        </w:rPr>
        <w:t xml:space="preserve">additional </w:t>
      </w:r>
      <w:r w:rsidRPr="00532434">
        <w:rPr>
          <w:rFonts w:cs="Arial"/>
          <w:color w:val="000000"/>
          <w:sz w:val="24"/>
          <w:szCs w:val="24"/>
        </w:rPr>
        <w:t xml:space="preserve">authorised officer from </w:t>
      </w:r>
      <w:r w:rsidRPr="00532434" w:rsidR="00D2050D">
        <w:rPr>
          <w:rFonts w:cs="Arial"/>
          <w:color w:val="000000"/>
          <w:sz w:val="24"/>
          <w:szCs w:val="24"/>
          <w:lang w:eastAsia="en-US"/>
        </w:rPr>
        <w:t>another local authority</w:t>
      </w:r>
      <w:r w:rsidRPr="00532434" w:rsidDel="00D2050D" w:rsidR="00D2050D">
        <w:rPr>
          <w:rFonts w:cs="Arial"/>
          <w:color w:val="000000"/>
          <w:sz w:val="24"/>
          <w:szCs w:val="24"/>
        </w:rPr>
        <w:t xml:space="preserve"> </w:t>
      </w:r>
      <w:r w:rsidRPr="00532434">
        <w:rPr>
          <w:rFonts w:cs="Arial"/>
          <w:color w:val="000000"/>
          <w:sz w:val="24"/>
          <w:szCs w:val="24"/>
        </w:rPr>
        <w:t xml:space="preserve">will be </w:t>
      </w:r>
      <w:r w:rsidRPr="00532434">
        <w:rPr>
          <w:rFonts w:cs="Arial"/>
          <w:color w:val="000000"/>
          <w:sz w:val="24"/>
          <w:szCs w:val="24"/>
        </w:rPr>
        <w:lastRenderedPageBreak/>
        <w:t xml:space="preserve">requested to assist in the decision making process as to the action required. </w:t>
      </w:r>
      <w:r w:rsidRPr="00532434" w:rsidR="00227D1C">
        <w:rPr>
          <w:rFonts w:cs="Arial"/>
          <w:color w:val="000000"/>
          <w:sz w:val="24"/>
          <w:szCs w:val="24"/>
        </w:rPr>
        <w:t xml:space="preserve">Senior Managers of the Council </w:t>
      </w:r>
      <w:r w:rsidRPr="00532434" w:rsidR="004B4FDF">
        <w:rPr>
          <w:rFonts w:cs="Arial"/>
          <w:color w:val="000000"/>
          <w:sz w:val="24"/>
          <w:szCs w:val="24"/>
        </w:rPr>
        <w:t>will be informed of serious breaches without delay.</w:t>
      </w:r>
    </w:p>
    <w:p w:rsidRPr="00532434" w:rsidR="00774226" w:rsidP="002F7BCD" w:rsidRDefault="00774226" w14:paraId="7B5E1B8F" w14:textId="77777777">
      <w:pPr>
        <w:ind w:left="1080"/>
        <w:jc w:val="both"/>
        <w:rPr>
          <w:rFonts w:cs="Arial"/>
          <w:color w:val="000000"/>
          <w:sz w:val="24"/>
          <w:szCs w:val="24"/>
        </w:rPr>
      </w:pPr>
    </w:p>
    <w:p w:rsidRPr="00532434" w:rsidR="00FB5826" w:rsidP="002F7BCD" w:rsidRDefault="00AC4894" w14:paraId="32767322" w14:textId="7E24289E">
      <w:pPr>
        <w:numPr>
          <w:ilvl w:val="0"/>
          <w:numId w:val="32"/>
        </w:numPr>
        <w:spacing w:after="200"/>
        <w:jc w:val="both"/>
        <w:rPr>
          <w:rFonts w:cs="Arial"/>
          <w:color w:val="000000"/>
          <w:sz w:val="24"/>
          <w:szCs w:val="24"/>
        </w:rPr>
      </w:pPr>
      <w:r w:rsidRPr="00532434">
        <w:rPr>
          <w:rFonts w:cs="Arial"/>
          <w:color w:val="000000"/>
          <w:sz w:val="24"/>
          <w:szCs w:val="24"/>
        </w:rPr>
        <w:t>The additional officer’s role is to assist and challenge the decision making process to ensure that appropriate, proportionate and consistent action is taken to remedy the breach, prevent re-occurrence and to minimise the risk of ‘conflict of interest’ for the enforcing authority. An auditable record of the additional officer’s involvement will also be kept.</w:t>
      </w:r>
    </w:p>
    <w:p w:rsidR="2D1CDE2C" w:rsidP="2D1CDE2C" w:rsidRDefault="2D1CDE2C" w14:paraId="6DD33BAC" w14:textId="7D3D7EBF">
      <w:pPr>
        <w:spacing w:after="200"/>
        <w:ind w:left="720"/>
        <w:jc w:val="both"/>
        <w:rPr>
          <w:rFonts w:cs="Arial"/>
          <w:color w:val="000000" w:themeColor="text1"/>
          <w:sz w:val="24"/>
          <w:szCs w:val="24"/>
        </w:rPr>
      </w:pPr>
    </w:p>
    <w:p w:rsidR="2D1CDE2C" w:rsidP="2D1CDE2C" w:rsidRDefault="2D1CDE2C" w14:paraId="68452EB0" w14:textId="4EC90102">
      <w:pPr>
        <w:spacing w:after="200"/>
        <w:ind w:left="720"/>
        <w:jc w:val="both"/>
        <w:rPr>
          <w:rFonts w:cs="Arial"/>
          <w:color w:val="000000" w:themeColor="text1"/>
          <w:sz w:val="24"/>
          <w:szCs w:val="24"/>
        </w:rPr>
      </w:pPr>
    </w:p>
    <w:p w:rsidR="2D1CDE2C" w:rsidP="2D1CDE2C" w:rsidRDefault="2D1CDE2C" w14:paraId="3BDE9B96" w14:textId="5C16B606">
      <w:pPr>
        <w:spacing w:after="200"/>
        <w:ind w:left="720"/>
        <w:jc w:val="both"/>
        <w:rPr>
          <w:rFonts w:cs="Arial"/>
          <w:color w:val="000000" w:themeColor="text1"/>
          <w:sz w:val="24"/>
          <w:szCs w:val="24"/>
        </w:rPr>
      </w:pPr>
    </w:p>
    <w:p w:rsidRPr="00532434" w:rsidR="00DB038E" w:rsidP="002F7BCD" w:rsidRDefault="00DB038E" w14:paraId="77613602" w14:textId="77777777">
      <w:pPr>
        <w:numPr>
          <w:ilvl w:val="0"/>
          <w:numId w:val="22"/>
        </w:numPr>
        <w:jc w:val="both"/>
        <w:rPr>
          <w:rFonts w:cs="Arial"/>
          <w:b/>
          <w:sz w:val="28"/>
          <w:szCs w:val="28"/>
        </w:rPr>
      </w:pPr>
      <w:r w:rsidRPr="00532434">
        <w:rPr>
          <w:rFonts w:cs="Arial"/>
          <w:b/>
          <w:sz w:val="28"/>
          <w:szCs w:val="28"/>
        </w:rPr>
        <w:t>Where to get further information</w:t>
      </w:r>
    </w:p>
    <w:p w:rsidRPr="00532434" w:rsidR="00DB038E" w:rsidP="002F7BCD" w:rsidRDefault="00DB038E" w14:paraId="6761D93E" w14:textId="77777777">
      <w:pPr>
        <w:jc w:val="both"/>
        <w:rPr>
          <w:rFonts w:cs="Arial"/>
          <w:sz w:val="24"/>
          <w:szCs w:val="24"/>
        </w:rPr>
      </w:pPr>
    </w:p>
    <w:p w:rsidRPr="00532434" w:rsidR="0017646D" w:rsidP="002F7BCD" w:rsidRDefault="0017646D" w14:paraId="2FD81CBB" w14:textId="7D9FE039">
      <w:pPr>
        <w:numPr>
          <w:ilvl w:val="1"/>
          <w:numId w:val="22"/>
        </w:numPr>
        <w:jc w:val="both"/>
        <w:rPr>
          <w:rFonts w:cs="Arial"/>
          <w:b/>
          <w:bCs/>
          <w:color w:val="000000"/>
        </w:rPr>
      </w:pPr>
      <w:r w:rsidRPr="00532434">
        <w:rPr>
          <w:rFonts w:cs="Arial"/>
          <w:sz w:val="24"/>
          <w:szCs w:val="24"/>
        </w:rPr>
        <w:t xml:space="preserve">Copies of this document and other </w:t>
      </w:r>
      <w:r w:rsidRPr="00532434" w:rsidR="00844B79">
        <w:rPr>
          <w:rFonts w:cs="Arial"/>
          <w:sz w:val="24"/>
          <w:szCs w:val="24"/>
        </w:rPr>
        <w:t xml:space="preserve">information/advice </w:t>
      </w:r>
      <w:r w:rsidRPr="00532434" w:rsidR="00DB038E">
        <w:rPr>
          <w:rFonts w:cs="Arial"/>
          <w:sz w:val="24"/>
          <w:szCs w:val="24"/>
        </w:rPr>
        <w:t>are available</w:t>
      </w:r>
      <w:r w:rsidRPr="00532434" w:rsidR="00844B79">
        <w:rPr>
          <w:rFonts w:cs="Arial"/>
          <w:sz w:val="24"/>
          <w:szCs w:val="24"/>
        </w:rPr>
        <w:t xml:space="preserve"> by writing to the Trading Standards Service using the address in 5.</w:t>
      </w:r>
      <w:r w:rsidRPr="00532434" w:rsidR="00F32163">
        <w:rPr>
          <w:rFonts w:cs="Arial"/>
          <w:sz w:val="24"/>
          <w:szCs w:val="24"/>
        </w:rPr>
        <w:t>4</w:t>
      </w:r>
      <w:r w:rsidRPr="00532434" w:rsidR="00844B79">
        <w:rPr>
          <w:rFonts w:cs="Arial"/>
          <w:sz w:val="24"/>
          <w:szCs w:val="24"/>
        </w:rPr>
        <w:t xml:space="preserve"> above.</w:t>
      </w:r>
    </w:p>
    <w:p w:rsidRPr="00532434" w:rsidR="00DB038E" w:rsidP="002F7BCD" w:rsidRDefault="00DB038E" w14:paraId="10D2F96B" w14:textId="77777777">
      <w:pPr>
        <w:pStyle w:val="Default"/>
        <w:jc w:val="both"/>
      </w:pPr>
    </w:p>
    <w:p w:rsidRPr="00532434" w:rsidR="00DB038E" w:rsidP="002F7BCD" w:rsidRDefault="0017646D" w14:paraId="08B73C4A" w14:textId="77777777">
      <w:pPr>
        <w:pStyle w:val="Default"/>
        <w:numPr>
          <w:ilvl w:val="1"/>
          <w:numId w:val="22"/>
        </w:numPr>
        <w:jc w:val="both"/>
      </w:pPr>
      <w:r w:rsidRPr="00532434">
        <w:t xml:space="preserve">We will make this policy available on tape, in Braille, large type, or in </w:t>
      </w:r>
      <w:r w:rsidRPr="00532434" w:rsidR="00DB038E">
        <w:t>another language on request.</w:t>
      </w:r>
    </w:p>
    <w:p w:rsidRPr="00532434" w:rsidR="00703B6F" w:rsidP="002F7BCD" w:rsidRDefault="00703B6F" w14:paraId="7890A21F" w14:textId="77777777">
      <w:pPr>
        <w:pStyle w:val="ListParagraph"/>
        <w:jc w:val="both"/>
        <w:rPr>
          <w:rFonts w:ascii="Arial" w:hAnsi="Arial" w:cs="Arial"/>
        </w:rPr>
      </w:pPr>
    </w:p>
    <w:p w:rsidRPr="00532434" w:rsidR="00703B6F" w:rsidP="002F7BCD" w:rsidRDefault="00703B6F" w14:paraId="5FA864CA" w14:textId="77777777">
      <w:pPr>
        <w:pStyle w:val="Default"/>
        <w:jc w:val="both"/>
      </w:pPr>
    </w:p>
    <w:p w:rsidRPr="00532434" w:rsidR="00703B6F" w:rsidP="002F7BCD" w:rsidRDefault="00703B6F" w14:paraId="5A2F7804" w14:textId="1AB8F87B">
      <w:pPr>
        <w:pStyle w:val="Default"/>
        <w:jc w:val="both"/>
      </w:pPr>
    </w:p>
    <w:p w:rsidRPr="00532434" w:rsidR="00CB0362" w:rsidP="002F7BCD" w:rsidRDefault="00CB0362" w14:paraId="45214CBE" w14:textId="77777777">
      <w:pPr>
        <w:pStyle w:val="Default"/>
        <w:jc w:val="both"/>
      </w:pPr>
    </w:p>
    <w:p w:rsidR="2D1CDE2C" w:rsidP="2D1CDE2C" w:rsidRDefault="2D1CDE2C" w14:paraId="21B6720D" w14:textId="78A85FF6">
      <w:pPr>
        <w:pStyle w:val="Default"/>
        <w:rPr>
          <w:b/>
          <w:bCs/>
          <w:u w:val="single"/>
        </w:rPr>
      </w:pPr>
    </w:p>
    <w:p w:rsidR="2D1CDE2C" w:rsidP="2D1CDE2C" w:rsidRDefault="2D1CDE2C" w14:paraId="01711193" w14:textId="09957EAD">
      <w:pPr>
        <w:pStyle w:val="Default"/>
        <w:rPr>
          <w:b/>
          <w:bCs/>
          <w:u w:val="single"/>
        </w:rPr>
      </w:pPr>
    </w:p>
    <w:p w:rsidR="2D1CDE2C" w:rsidP="2D1CDE2C" w:rsidRDefault="2D1CDE2C" w14:paraId="47FAED44" w14:textId="08288BEC">
      <w:pPr>
        <w:pStyle w:val="Default"/>
        <w:rPr>
          <w:b/>
          <w:bCs/>
          <w:u w:val="single"/>
        </w:rPr>
      </w:pPr>
    </w:p>
    <w:p w:rsidR="2D1CDE2C" w:rsidP="2D1CDE2C" w:rsidRDefault="2D1CDE2C" w14:paraId="522B6A77" w14:textId="7BA309A4">
      <w:pPr>
        <w:pStyle w:val="Default"/>
        <w:rPr>
          <w:b/>
          <w:bCs/>
          <w:u w:val="single"/>
        </w:rPr>
      </w:pPr>
    </w:p>
    <w:p w:rsidR="2D1CDE2C" w:rsidP="2D1CDE2C" w:rsidRDefault="2D1CDE2C" w14:paraId="1F514F9F" w14:textId="33BE21DC">
      <w:pPr>
        <w:pStyle w:val="Default"/>
        <w:rPr>
          <w:b/>
          <w:bCs/>
          <w:u w:val="single"/>
        </w:rPr>
      </w:pPr>
    </w:p>
    <w:p w:rsidR="2D1CDE2C" w:rsidP="2D1CDE2C" w:rsidRDefault="2D1CDE2C" w14:paraId="1E64A27C" w14:textId="744F8B2F">
      <w:pPr>
        <w:pStyle w:val="Default"/>
        <w:rPr>
          <w:b/>
          <w:bCs/>
          <w:u w:val="single"/>
        </w:rPr>
      </w:pPr>
    </w:p>
    <w:p w:rsidR="2D1CDE2C" w:rsidP="2D1CDE2C" w:rsidRDefault="2D1CDE2C" w14:paraId="610EA0E9" w14:textId="041D3C46">
      <w:pPr>
        <w:pStyle w:val="Default"/>
        <w:rPr>
          <w:b/>
          <w:bCs/>
          <w:u w:val="single"/>
        </w:rPr>
      </w:pPr>
    </w:p>
    <w:p w:rsidR="2D1CDE2C" w:rsidP="2D1CDE2C" w:rsidRDefault="2D1CDE2C" w14:paraId="3A834F4B" w14:textId="2BE71261">
      <w:pPr>
        <w:pStyle w:val="Default"/>
        <w:rPr>
          <w:b/>
          <w:bCs/>
          <w:u w:val="single"/>
        </w:rPr>
      </w:pPr>
    </w:p>
    <w:p w:rsidR="2D1CDE2C" w:rsidP="2D1CDE2C" w:rsidRDefault="2D1CDE2C" w14:paraId="44984D7E" w14:textId="44D07348">
      <w:pPr>
        <w:pStyle w:val="Default"/>
        <w:rPr>
          <w:b/>
          <w:bCs/>
          <w:u w:val="single"/>
        </w:rPr>
      </w:pPr>
    </w:p>
    <w:p w:rsidR="2D1CDE2C" w:rsidP="2D1CDE2C" w:rsidRDefault="2D1CDE2C" w14:paraId="61714BCC" w14:textId="7BE56054">
      <w:pPr>
        <w:pStyle w:val="Default"/>
        <w:rPr>
          <w:b/>
          <w:bCs/>
          <w:u w:val="single"/>
        </w:rPr>
      </w:pPr>
    </w:p>
    <w:p w:rsidR="2D1CDE2C" w:rsidP="2D1CDE2C" w:rsidRDefault="2D1CDE2C" w14:paraId="7E6BA817" w14:textId="0A923B9B">
      <w:pPr>
        <w:pStyle w:val="Default"/>
        <w:rPr>
          <w:b/>
          <w:bCs/>
          <w:u w:val="single"/>
        </w:rPr>
      </w:pPr>
    </w:p>
    <w:p w:rsidR="2D1CDE2C" w:rsidP="2D1CDE2C" w:rsidRDefault="2D1CDE2C" w14:paraId="3C0ACCA4" w14:textId="70E5079B">
      <w:pPr>
        <w:pStyle w:val="Default"/>
        <w:rPr>
          <w:b/>
          <w:bCs/>
          <w:u w:val="single"/>
        </w:rPr>
      </w:pPr>
    </w:p>
    <w:p w:rsidR="2D1CDE2C" w:rsidP="2D1CDE2C" w:rsidRDefault="2D1CDE2C" w14:paraId="30F9B2BC" w14:textId="04E75E64">
      <w:pPr>
        <w:pStyle w:val="Default"/>
        <w:rPr>
          <w:b/>
          <w:bCs/>
          <w:u w:val="single"/>
        </w:rPr>
      </w:pPr>
    </w:p>
    <w:p w:rsidR="2D1CDE2C" w:rsidP="2D1CDE2C" w:rsidRDefault="2D1CDE2C" w14:paraId="7E7294BE" w14:textId="5348D763">
      <w:pPr>
        <w:pStyle w:val="Default"/>
        <w:rPr>
          <w:b/>
          <w:bCs/>
          <w:u w:val="single"/>
        </w:rPr>
      </w:pPr>
    </w:p>
    <w:p w:rsidR="2D1CDE2C" w:rsidP="2D1CDE2C" w:rsidRDefault="2D1CDE2C" w14:paraId="53A6BC12" w14:textId="70539C0F">
      <w:pPr>
        <w:pStyle w:val="Default"/>
        <w:rPr>
          <w:b/>
          <w:bCs/>
          <w:u w:val="single"/>
        </w:rPr>
      </w:pPr>
    </w:p>
    <w:p w:rsidR="2D1CDE2C" w:rsidP="2D1CDE2C" w:rsidRDefault="2D1CDE2C" w14:paraId="740BB0B1" w14:textId="2108AA56">
      <w:pPr>
        <w:pStyle w:val="Default"/>
        <w:rPr>
          <w:b/>
          <w:bCs/>
          <w:u w:val="single"/>
        </w:rPr>
      </w:pPr>
    </w:p>
    <w:p w:rsidR="2D1CDE2C" w:rsidP="2D1CDE2C" w:rsidRDefault="2D1CDE2C" w14:paraId="63B9469F" w14:textId="6EA8F0A8">
      <w:pPr>
        <w:pStyle w:val="Default"/>
        <w:rPr>
          <w:b/>
          <w:bCs/>
          <w:u w:val="single"/>
        </w:rPr>
      </w:pPr>
    </w:p>
    <w:p w:rsidR="2D1CDE2C" w:rsidP="2D1CDE2C" w:rsidRDefault="2D1CDE2C" w14:paraId="2BA8BED0" w14:textId="45C491E8">
      <w:pPr>
        <w:pStyle w:val="Default"/>
        <w:rPr>
          <w:b/>
          <w:bCs/>
          <w:u w:val="single"/>
        </w:rPr>
      </w:pPr>
    </w:p>
    <w:p w:rsidR="2D1CDE2C" w:rsidP="2D1CDE2C" w:rsidRDefault="2D1CDE2C" w14:paraId="5299D7A8" w14:textId="16A28D4C">
      <w:pPr>
        <w:pStyle w:val="Default"/>
        <w:rPr>
          <w:b/>
          <w:bCs/>
          <w:u w:val="single"/>
        </w:rPr>
      </w:pPr>
    </w:p>
    <w:p w:rsidR="2D1CDE2C" w:rsidP="2D1CDE2C" w:rsidRDefault="2D1CDE2C" w14:paraId="3D16191B" w14:textId="684843FF">
      <w:pPr>
        <w:pStyle w:val="Default"/>
        <w:rPr>
          <w:b/>
          <w:bCs/>
          <w:u w:val="single"/>
        </w:rPr>
      </w:pPr>
    </w:p>
    <w:p w:rsidR="2D1CDE2C" w:rsidP="2D1CDE2C" w:rsidRDefault="2D1CDE2C" w14:paraId="4B89CA62" w14:textId="767CC9E7">
      <w:pPr>
        <w:pStyle w:val="Default"/>
        <w:rPr>
          <w:b/>
          <w:bCs/>
          <w:u w:val="single"/>
        </w:rPr>
      </w:pPr>
    </w:p>
    <w:p w:rsidR="2D1CDE2C" w:rsidP="2D1CDE2C" w:rsidRDefault="2D1CDE2C" w14:paraId="4B6D86F9" w14:textId="10378C38">
      <w:pPr>
        <w:pStyle w:val="Default"/>
        <w:rPr>
          <w:b/>
          <w:bCs/>
          <w:u w:val="single"/>
        </w:rPr>
      </w:pPr>
    </w:p>
    <w:p w:rsidR="2D1CDE2C" w:rsidP="2D1CDE2C" w:rsidRDefault="2D1CDE2C" w14:paraId="74A4DFFF" w14:textId="73D9F4FF">
      <w:pPr>
        <w:pStyle w:val="Default"/>
        <w:rPr>
          <w:b/>
          <w:bCs/>
          <w:u w:val="single"/>
        </w:rPr>
      </w:pPr>
    </w:p>
    <w:p w:rsidR="2D1CDE2C" w:rsidP="2D1CDE2C" w:rsidRDefault="2D1CDE2C" w14:paraId="0E1C23DA" w14:textId="665A1553">
      <w:pPr>
        <w:pStyle w:val="Default"/>
        <w:rPr>
          <w:b/>
          <w:bCs/>
          <w:u w:val="single"/>
        </w:rPr>
      </w:pPr>
    </w:p>
    <w:p w:rsidR="2D1CDE2C" w:rsidP="2D1CDE2C" w:rsidRDefault="2D1CDE2C" w14:paraId="6D15B0B7" w14:textId="0999F5F0">
      <w:pPr>
        <w:pStyle w:val="Default"/>
        <w:rPr>
          <w:b/>
          <w:bCs/>
          <w:u w:val="single"/>
        </w:rPr>
      </w:pPr>
    </w:p>
    <w:p w:rsidR="2D1CDE2C" w:rsidP="2D1CDE2C" w:rsidRDefault="2D1CDE2C" w14:paraId="6AF26480" w14:textId="031846AC">
      <w:pPr>
        <w:pStyle w:val="Default"/>
        <w:rPr>
          <w:b/>
          <w:bCs/>
          <w:u w:val="single"/>
        </w:rPr>
      </w:pPr>
    </w:p>
    <w:p w:rsidRPr="00532434" w:rsidR="00703B6F" w:rsidP="00BD2A8D" w:rsidRDefault="00703B6F" w14:paraId="713D9521" w14:textId="77777777">
      <w:pPr>
        <w:pStyle w:val="Default"/>
        <w:rPr>
          <w:b/>
          <w:u w:val="single"/>
        </w:rPr>
      </w:pPr>
      <w:bookmarkStart w:name="_Hlk524608628" w:id="0"/>
      <w:r w:rsidRPr="00532434">
        <w:rPr>
          <w:b/>
          <w:u w:val="single"/>
        </w:rPr>
        <w:lastRenderedPageBreak/>
        <w:t>APPENDIX 1:  Breach of vehicle weight limits / weight restrictions</w:t>
      </w:r>
      <w:bookmarkEnd w:id="0"/>
    </w:p>
    <w:p w:rsidRPr="00532434" w:rsidR="000C3969" w:rsidP="00BD2A8D" w:rsidRDefault="000C3969" w14:paraId="628EFE49" w14:textId="77777777">
      <w:pPr>
        <w:pStyle w:val="ListParagraph"/>
        <w:rPr>
          <w:rFonts w:ascii="Arial" w:hAnsi="Arial" w:cs="Arial"/>
        </w:rPr>
      </w:pPr>
    </w:p>
    <w:p w:rsidRPr="00532434" w:rsidR="00703B6F" w:rsidP="00FB0C4B" w:rsidRDefault="00703B6F" w14:paraId="22BE148F" w14:textId="77777777">
      <w:pPr>
        <w:pStyle w:val="Default"/>
        <w:jc w:val="both"/>
      </w:pPr>
      <w:r w:rsidRPr="00532434">
        <w:rPr>
          <w:b/>
        </w:rPr>
        <w:t xml:space="preserve">Overloaded goods vehicles:  </w:t>
      </w:r>
      <w:r w:rsidRPr="00532434" w:rsidR="000C3969">
        <w:rPr>
          <w:b/>
        </w:rPr>
        <w:t>We have laid down specific criteria for sanctions in respect of</w:t>
      </w:r>
      <w:r w:rsidRPr="00532434">
        <w:rPr>
          <w:b/>
        </w:rPr>
        <w:t xml:space="preserve"> </w:t>
      </w:r>
      <w:r w:rsidRPr="00532434" w:rsidR="000C3969">
        <w:rPr>
          <w:b/>
        </w:rPr>
        <w:t>overloaded vehicles having regard to the environmental and safety risks associated with those</w:t>
      </w:r>
      <w:r w:rsidRPr="00532434">
        <w:rPr>
          <w:b/>
        </w:rPr>
        <w:t xml:space="preserve"> </w:t>
      </w:r>
      <w:r w:rsidRPr="00532434" w:rsidR="000C3969">
        <w:rPr>
          <w:b/>
        </w:rPr>
        <w:t>breaches.</w:t>
      </w:r>
      <w:r w:rsidRPr="00532434" w:rsidR="000C3969">
        <w:t xml:space="preserve"> </w:t>
      </w:r>
    </w:p>
    <w:p w:rsidRPr="00532434" w:rsidR="00703B6F" w:rsidP="00FB0C4B" w:rsidRDefault="00703B6F" w14:paraId="712763D9" w14:textId="77777777">
      <w:pPr>
        <w:pStyle w:val="Default"/>
        <w:jc w:val="both"/>
      </w:pPr>
    </w:p>
    <w:p w:rsidRPr="00532434" w:rsidR="000C3969" w:rsidP="00FB0C4B" w:rsidRDefault="000C3969" w14:paraId="0F2E7AFD" w14:textId="77777777">
      <w:pPr>
        <w:pStyle w:val="Default"/>
        <w:jc w:val="both"/>
      </w:pPr>
      <w:r w:rsidRPr="00532434">
        <w:t>Vehicles overloaded by more than 10% of the maximum permissible axle and/or gross</w:t>
      </w:r>
      <w:r w:rsidRPr="00532434" w:rsidR="00703B6F">
        <w:t xml:space="preserve"> </w:t>
      </w:r>
      <w:r w:rsidRPr="00532434">
        <w:t>weight of that vehicle or one tonne whichever is less, will be progressed as prosecutions. Prohibition</w:t>
      </w:r>
      <w:r w:rsidRPr="00532434" w:rsidR="00703B6F">
        <w:t xml:space="preserve"> </w:t>
      </w:r>
      <w:r w:rsidRPr="00532434">
        <w:t>notices will be served on all goods vehicles found to be overweight by more than 5% of the maximum permissible axle and/or gross weight of that vehicle or one tonne whichever is less.</w:t>
      </w:r>
    </w:p>
    <w:p w:rsidRPr="00532434" w:rsidR="00703B6F" w:rsidP="00BD2A8D" w:rsidRDefault="00703B6F" w14:paraId="0530F8D5" w14:textId="77777777">
      <w:pPr>
        <w:pStyle w:val="Default"/>
        <w:jc w:val="both"/>
      </w:pPr>
    </w:p>
    <w:p w:rsidRPr="00532434" w:rsidR="000C3969" w:rsidP="00FB0C4B" w:rsidRDefault="000C3969" w14:paraId="42C6AA57" w14:textId="77777777">
      <w:pPr>
        <w:pStyle w:val="Default"/>
        <w:jc w:val="both"/>
      </w:pPr>
    </w:p>
    <w:p w:rsidRPr="00532434" w:rsidR="000C3969" w:rsidP="00FB0C4B" w:rsidRDefault="000C3969" w14:paraId="5A81B6D4" w14:textId="77777777">
      <w:pPr>
        <w:pStyle w:val="Default"/>
        <w:jc w:val="both"/>
        <w:rPr>
          <w:b/>
        </w:rPr>
      </w:pPr>
      <w:r w:rsidRPr="00532434">
        <w:rPr>
          <w:b/>
        </w:rPr>
        <w:t>Vehicles exceeding the weight limit on a weight restricted road</w:t>
      </w:r>
      <w:r w:rsidRPr="00532434" w:rsidR="00703B6F">
        <w:rPr>
          <w:b/>
        </w:rPr>
        <w:t>:</w:t>
      </w:r>
    </w:p>
    <w:p w:rsidRPr="00532434" w:rsidR="00703B6F" w:rsidP="00FB0C4B" w:rsidRDefault="00703B6F" w14:paraId="3D4FBA15" w14:textId="77777777">
      <w:pPr>
        <w:pStyle w:val="Default"/>
        <w:jc w:val="both"/>
        <w:rPr>
          <w:b/>
        </w:rPr>
      </w:pPr>
    </w:p>
    <w:p w:rsidRPr="00532434" w:rsidR="000C3969" w:rsidP="00FB0C4B" w:rsidRDefault="000C3969" w14:paraId="36A29404" w14:textId="77777777">
      <w:pPr>
        <w:pStyle w:val="Default"/>
        <w:jc w:val="both"/>
        <w:rPr>
          <w:b/>
        </w:rPr>
      </w:pPr>
      <w:r w:rsidRPr="00532434">
        <w:rPr>
          <w:b/>
        </w:rPr>
        <w:t>Vehicles 32 tonnes and over</w:t>
      </w:r>
    </w:p>
    <w:p w:rsidRPr="00532434" w:rsidR="000C3969" w:rsidP="00FB0C4B" w:rsidRDefault="000C3969" w14:paraId="161535DF" w14:textId="77777777">
      <w:pPr>
        <w:pStyle w:val="Default"/>
        <w:jc w:val="both"/>
      </w:pPr>
      <w:r w:rsidRPr="00532434">
        <w:t>Drivers of such vehicles who are reported as contravening any weight restriction on a weight restricted road will normally, on the first occasion they are seen, be given written advice.</w:t>
      </w:r>
    </w:p>
    <w:p w:rsidRPr="00532434" w:rsidR="00703B6F" w:rsidP="00FB0C4B" w:rsidRDefault="00703B6F" w14:paraId="46C06C60" w14:textId="77777777">
      <w:pPr>
        <w:pStyle w:val="Default"/>
        <w:jc w:val="both"/>
      </w:pPr>
    </w:p>
    <w:p w:rsidRPr="00532434" w:rsidR="000C3969" w:rsidP="00FB0C4B" w:rsidRDefault="000C3969" w14:paraId="5F0A79D6" w14:textId="5ED28307">
      <w:pPr>
        <w:pStyle w:val="Default"/>
        <w:jc w:val="both"/>
      </w:pPr>
      <w:r>
        <w:t>On the second or subsequent occasion</w:t>
      </w:r>
      <w:r w:rsidR="53039804">
        <w:t xml:space="preserve"> </w:t>
      </w:r>
      <w:r w:rsidRPr="2D1CDE2C" w:rsidR="53039804">
        <w:rPr>
          <w:rFonts w:eastAsia="Arial"/>
          <w:color w:val="auto"/>
        </w:rPr>
        <w:t>(within four years of the previous occasion)</w:t>
      </w:r>
      <w:r w:rsidRPr="2D1CDE2C">
        <w:rPr>
          <w:rFonts w:eastAsia="Arial"/>
          <w:color w:val="auto"/>
        </w:rPr>
        <w:t xml:space="preserve"> </w:t>
      </w:r>
      <w:r>
        <w:t>they will be recommended for prosecution.</w:t>
      </w:r>
    </w:p>
    <w:p w:rsidRPr="00532434" w:rsidR="00703B6F" w:rsidP="00FB0C4B" w:rsidRDefault="00703B6F" w14:paraId="2FF0F437" w14:textId="77777777">
      <w:pPr>
        <w:pStyle w:val="Default"/>
        <w:jc w:val="both"/>
      </w:pPr>
    </w:p>
    <w:p w:rsidRPr="00532434" w:rsidR="000C3969" w:rsidP="00FB0C4B" w:rsidRDefault="000C3969" w14:paraId="49D5A3EB" w14:textId="77777777">
      <w:pPr>
        <w:pStyle w:val="Default"/>
        <w:jc w:val="both"/>
        <w:rPr>
          <w:b/>
        </w:rPr>
      </w:pPr>
      <w:r w:rsidRPr="00532434">
        <w:rPr>
          <w:b/>
        </w:rPr>
        <w:t>Vehicles under 32 tonnes</w:t>
      </w:r>
    </w:p>
    <w:p w:rsidRPr="00532434" w:rsidR="000C3969" w:rsidP="00FB0C4B" w:rsidRDefault="000C3969" w14:paraId="23FE4238" w14:textId="77777777">
      <w:pPr>
        <w:pStyle w:val="Default"/>
        <w:jc w:val="both"/>
      </w:pPr>
      <w:r w:rsidRPr="00532434">
        <w:t>For vehicles plated to carry less than 32 tonnes and contravening any weight restriction on the public road, drivers who are reported as contravening any weight restriction on a weight restricted road will normally, on the first occasion they are seen, be given written advice. On the second occasion they will be recommended for a written warning.</w:t>
      </w:r>
    </w:p>
    <w:p w:rsidRPr="00532434" w:rsidR="00703B6F" w:rsidP="00FB0C4B" w:rsidRDefault="00703B6F" w14:paraId="6C3F1BA2" w14:textId="77777777">
      <w:pPr>
        <w:pStyle w:val="Default"/>
        <w:jc w:val="both"/>
      </w:pPr>
    </w:p>
    <w:p w:rsidRPr="00532434" w:rsidR="000C3969" w:rsidP="00FB0C4B" w:rsidRDefault="000C3969" w14:paraId="4C140605" w14:textId="4B96CC46">
      <w:pPr>
        <w:pStyle w:val="Default"/>
        <w:jc w:val="both"/>
      </w:pPr>
      <w:r>
        <w:t>For any subsequent contravention then being reported</w:t>
      </w:r>
      <w:r w:rsidR="39D7968D">
        <w:t xml:space="preserve"> within four years</w:t>
      </w:r>
      <w:r>
        <w:t>, they will be recommended for prosecution</w:t>
      </w:r>
    </w:p>
    <w:p w:rsidRPr="00532434" w:rsidR="00703B6F" w:rsidP="00FB0C4B" w:rsidRDefault="00703B6F" w14:paraId="3737C482" w14:textId="77777777">
      <w:pPr>
        <w:pStyle w:val="Default"/>
        <w:jc w:val="both"/>
      </w:pPr>
    </w:p>
    <w:p w:rsidRPr="00532434" w:rsidR="00703B6F" w:rsidP="00FB0C4B" w:rsidRDefault="000C3969" w14:paraId="717A8F22" w14:textId="77777777">
      <w:pPr>
        <w:pStyle w:val="Default"/>
        <w:jc w:val="both"/>
      </w:pPr>
      <w:r w:rsidRPr="00532434">
        <w:rPr>
          <w:b/>
        </w:rPr>
        <w:t>Vehicles exceeding the weight limit on a weight restricted bridge</w:t>
      </w:r>
      <w:r w:rsidRPr="00532434">
        <w:t xml:space="preserve">: </w:t>
      </w:r>
    </w:p>
    <w:p w:rsidRPr="00532434" w:rsidR="00703B6F" w:rsidP="00FB0C4B" w:rsidRDefault="00703B6F" w14:paraId="05D1F860" w14:textId="77777777">
      <w:pPr>
        <w:pStyle w:val="Default"/>
        <w:jc w:val="both"/>
      </w:pPr>
    </w:p>
    <w:p w:rsidRPr="00532434" w:rsidR="000C3969" w:rsidP="00FB0C4B" w:rsidRDefault="000C3969" w14:paraId="63323970" w14:textId="6F3C63AB">
      <w:pPr>
        <w:pStyle w:val="Default"/>
        <w:jc w:val="both"/>
      </w:pPr>
      <w:r>
        <w:t>Drivers of vehicles that</w:t>
      </w:r>
      <w:r w:rsidR="00703B6F">
        <w:t xml:space="preserve"> </w:t>
      </w:r>
      <w:r>
        <w:t>contravene any weight restriction over a public bridge will</w:t>
      </w:r>
      <w:r w:rsidR="362C474A">
        <w:t xml:space="preserve"> normally</w:t>
      </w:r>
      <w:r>
        <w:t xml:space="preserve"> be actioned as follows:</w:t>
      </w:r>
    </w:p>
    <w:p w:rsidRPr="00532434" w:rsidR="00703B6F" w:rsidP="00FB0C4B" w:rsidRDefault="00703B6F" w14:paraId="18D2713B" w14:textId="77777777">
      <w:pPr>
        <w:pStyle w:val="Default"/>
        <w:jc w:val="both"/>
      </w:pPr>
    </w:p>
    <w:p w:rsidRPr="00532434" w:rsidR="000C3969" w:rsidP="00FB0C4B" w:rsidRDefault="000C3969" w14:paraId="5C4E9B5B" w14:textId="77777777">
      <w:pPr>
        <w:pStyle w:val="Default"/>
        <w:jc w:val="both"/>
      </w:pPr>
      <w:r w:rsidRPr="00532434">
        <w:t>For bridges with a 3 tonne weight restriction</w:t>
      </w:r>
    </w:p>
    <w:p w:rsidRPr="00532434" w:rsidR="00703B6F" w:rsidP="00FB0C4B" w:rsidRDefault="000C3969" w14:paraId="4EAAD15E" w14:textId="77777777">
      <w:pPr>
        <w:pStyle w:val="Default"/>
        <w:numPr>
          <w:ilvl w:val="0"/>
          <w:numId w:val="36"/>
        </w:numPr>
        <w:jc w:val="both"/>
      </w:pPr>
      <w:r w:rsidRPr="00532434">
        <w:t xml:space="preserve"> Vehicles over 3 tonnes and up to 4 tonnes – Written warning</w:t>
      </w:r>
    </w:p>
    <w:p w:rsidRPr="00532434" w:rsidR="000C3969" w:rsidP="00BD2A8D" w:rsidRDefault="000C3969" w14:paraId="0A2EDECA" w14:textId="77777777">
      <w:pPr>
        <w:pStyle w:val="Default"/>
        <w:numPr>
          <w:ilvl w:val="0"/>
          <w:numId w:val="36"/>
        </w:numPr>
        <w:jc w:val="both"/>
      </w:pPr>
      <w:r w:rsidRPr="00532434">
        <w:t>Over 4 tonnes – prosecution</w:t>
      </w:r>
    </w:p>
    <w:p w:rsidRPr="00532434" w:rsidR="00703B6F" w:rsidP="00FB0C4B" w:rsidRDefault="00703B6F" w14:paraId="4325A47A" w14:textId="77777777">
      <w:pPr>
        <w:pStyle w:val="Default"/>
        <w:jc w:val="both"/>
      </w:pPr>
    </w:p>
    <w:p w:rsidRPr="00532434" w:rsidR="000C3969" w:rsidP="00FB0C4B" w:rsidRDefault="000C3969" w14:paraId="1623C5E6" w14:textId="77777777">
      <w:pPr>
        <w:pStyle w:val="Default"/>
        <w:jc w:val="both"/>
      </w:pPr>
      <w:r w:rsidRPr="00532434">
        <w:t>For bridges with a 7.5 tonne weight restriction</w:t>
      </w:r>
    </w:p>
    <w:p w:rsidRPr="00532434" w:rsidR="00703B6F" w:rsidP="00FB0C4B" w:rsidRDefault="000C3969" w14:paraId="756BB968" w14:textId="77777777">
      <w:pPr>
        <w:pStyle w:val="Default"/>
        <w:numPr>
          <w:ilvl w:val="0"/>
          <w:numId w:val="36"/>
        </w:numPr>
        <w:jc w:val="both"/>
      </w:pPr>
      <w:r w:rsidRPr="00532434">
        <w:t xml:space="preserve"> Vehicles over 7.5 tonnes and up to 8.5 tonnes – Written warning</w:t>
      </w:r>
    </w:p>
    <w:p w:rsidRPr="00532434" w:rsidR="000C3969" w:rsidP="00FB0C4B" w:rsidRDefault="000C3969" w14:paraId="40B4B51B" w14:textId="77777777">
      <w:pPr>
        <w:pStyle w:val="Default"/>
        <w:numPr>
          <w:ilvl w:val="0"/>
          <w:numId w:val="36"/>
        </w:numPr>
        <w:jc w:val="both"/>
      </w:pPr>
      <w:r w:rsidRPr="00532434">
        <w:t>Over 8.5 tonnes – prosecution</w:t>
      </w:r>
    </w:p>
    <w:p w:rsidRPr="00532434" w:rsidR="00D87EBE" w:rsidP="00FB0C4B" w:rsidRDefault="00D87EBE" w14:paraId="6F949D0E" w14:textId="77777777">
      <w:pPr>
        <w:pStyle w:val="Default"/>
        <w:jc w:val="both"/>
      </w:pPr>
    </w:p>
    <w:p w:rsidRPr="00532434" w:rsidR="00D87EBE" w:rsidP="00FB0C4B" w:rsidRDefault="00D87EBE" w14:paraId="335A1088" w14:textId="77777777">
      <w:pPr>
        <w:pStyle w:val="Default"/>
        <w:jc w:val="both"/>
      </w:pPr>
    </w:p>
    <w:p w:rsidRPr="00532434" w:rsidR="00D87EBE" w:rsidP="00FB0C4B" w:rsidRDefault="00D87EBE" w14:paraId="2139015B" w14:textId="77777777">
      <w:pPr>
        <w:pStyle w:val="Default"/>
        <w:jc w:val="both"/>
      </w:pPr>
    </w:p>
    <w:p w:rsidRPr="00532434" w:rsidR="00D87EBE" w:rsidP="00FB0C4B" w:rsidRDefault="00D87EBE" w14:paraId="22F5D2A2" w14:textId="77777777">
      <w:pPr>
        <w:pStyle w:val="Default"/>
        <w:jc w:val="both"/>
      </w:pPr>
    </w:p>
    <w:p w:rsidRPr="00532434" w:rsidR="00D87EBE" w:rsidP="00FB0C4B" w:rsidRDefault="00D87EBE" w14:paraId="4B9E4AC5" w14:textId="77777777">
      <w:pPr>
        <w:pStyle w:val="Default"/>
        <w:jc w:val="both"/>
      </w:pPr>
    </w:p>
    <w:p w:rsidR="00D87EBE" w:rsidP="00FB0C4B" w:rsidRDefault="00D87EBE" w14:paraId="12A75112" w14:textId="2BFA347E">
      <w:pPr>
        <w:pStyle w:val="Default"/>
        <w:jc w:val="both"/>
      </w:pPr>
    </w:p>
    <w:p w:rsidRPr="00532434" w:rsidR="00E87564" w:rsidP="00FB0C4B" w:rsidRDefault="00E87564" w14:paraId="38BC8264" w14:textId="77777777">
      <w:pPr>
        <w:pStyle w:val="Default"/>
        <w:jc w:val="both"/>
      </w:pPr>
    </w:p>
    <w:p w:rsidRPr="00532434" w:rsidR="00D87EBE" w:rsidP="00FB0C4B" w:rsidRDefault="00D87EBE" w14:paraId="37DDC96D" w14:textId="77777777">
      <w:pPr>
        <w:pStyle w:val="Default"/>
        <w:jc w:val="both"/>
      </w:pPr>
    </w:p>
    <w:p w:rsidRPr="00532434" w:rsidR="00D87EBE" w:rsidP="00FB0C4B" w:rsidRDefault="00D87EBE" w14:paraId="58903D02" w14:textId="621E5909">
      <w:pPr>
        <w:pStyle w:val="Default"/>
        <w:jc w:val="both"/>
      </w:pPr>
    </w:p>
    <w:p w:rsidRPr="00532434" w:rsidR="00D87EBE" w:rsidP="00FB0C4B" w:rsidRDefault="00D87EBE" w14:paraId="308160BA" w14:textId="77777777">
      <w:pPr>
        <w:pStyle w:val="Default"/>
        <w:jc w:val="both"/>
        <w:rPr>
          <w:b/>
          <w:u w:val="single"/>
        </w:rPr>
      </w:pPr>
      <w:r w:rsidRPr="00532434">
        <w:rPr>
          <w:b/>
          <w:u w:val="single"/>
        </w:rPr>
        <w:t>APPENDIX 2:  SPORTS GROUND ENFORCEMENT POLICY</w:t>
      </w:r>
    </w:p>
    <w:p w:rsidRPr="00532434" w:rsidR="00D87EBE" w:rsidP="00FB0C4B" w:rsidRDefault="00D87EBE" w14:paraId="6E6881BB" w14:textId="77777777">
      <w:pPr>
        <w:pStyle w:val="Default"/>
        <w:jc w:val="both"/>
      </w:pPr>
    </w:p>
    <w:p w:rsidRPr="00532434" w:rsidR="00D87EBE" w:rsidP="00BD2A8D" w:rsidRDefault="00D87EBE" w14:paraId="3A45CBAF" w14:textId="77777777">
      <w:pPr>
        <w:pStyle w:val="Default"/>
        <w:jc w:val="both"/>
        <w:rPr>
          <w:b/>
        </w:rPr>
      </w:pPr>
      <w:r w:rsidRPr="00532434">
        <w:rPr>
          <w:b/>
        </w:rPr>
        <w:t>Sports Grounds Enforcement Policy</w:t>
      </w:r>
    </w:p>
    <w:p w:rsidRPr="00532434" w:rsidR="00D87EBE" w:rsidP="00BD2A8D" w:rsidRDefault="00D87EBE" w14:paraId="22A3D005" w14:textId="77777777">
      <w:pPr>
        <w:pStyle w:val="Default"/>
        <w:jc w:val="both"/>
        <w:rPr>
          <w:b/>
        </w:rPr>
      </w:pPr>
    </w:p>
    <w:p w:rsidRPr="00532434" w:rsidR="00D87EBE" w:rsidP="00FB0C4B" w:rsidRDefault="00D87EBE" w14:paraId="01700252" w14:textId="77777777">
      <w:pPr>
        <w:pStyle w:val="Default"/>
        <w:numPr>
          <w:ilvl w:val="0"/>
          <w:numId w:val="37"/>
        </w:numPr>
        <w:jc w:val="both"/>
        <w:rPr>
          <w:b/>
        </w:rPr>
      </w:pPr>
      <w:r w:rsidRPr="00532434">
        <w:rPr>
          <w:b/>
        </w:rPr>
        <w:t xml:space="preserve">Introduction </w:t>
      </w:r>
    </w:p>
    <w:p w:rsidRPr="00532434" w:rsidR="00D87EBE" w:rsidP="00FB0C4B" w:rsidRDefault="00D87EBE" w14:paraId="4115C799" w14:textId="77777777">
      <w:pPr>
        <w:pStyle w:val="Default"/>
        <w:jc w:val="both"/>
        <w:rPr>
          <w:b/>
        </w:rPr>
      </w:pPr>
    </w:p>
    <w:p w:rsidRPr="00532434" w:rsidR="00D87EBE" w:rsidP="00FB0C4B" w:rsidRDefault="00D87EBE" w14:paraId="7B97212E" w14:textId="77777777">
      <w:pPr>
        <w:pStyle w:val="Default"/>
        <w:jc w:val="both"/>
      </w:pPr>
      <w:r w:rsidRPr="00532434">
        <w:t>This Enforcement Policy sets out arrangements that Suffolk County Council has in place for enforcement action in relation to its statutory duties concerning the safety of sports grounds which require a Safety Certificate.</w:t>
      </w:r>
    </w:p>
    <w:p w:rsidRPr="00532434" w:rsidR="00D87EBE" w:rsidP="00FB0C4B" w:rsidRDefault="00D87EBE" w14:paraId="6FE0DCE4" w14:textId="77777777">
      <w:pPr>
        <w:pStyle w:val="Default"/>
        <w:jc w:val="both"/>
        <w:rPr>
          <w:b/>
        </w:rPr>
      </w:pPr>
    </w:p>
    <w:p w:rsidRPr="00532434" w:rsidR="00D87EBE" w:rsidP="00FB0C4B" w:rsidRDefault="00D87EBE" w14:paraId="20870859" w14:textId="77777777">
      <w:pPr>
        <w:pStyle w:val="Default"/>
        <w:jc w:val="both"/>
      </w:pPr>
      <w:r w:rsidRPr="00532434">
        <w:t xml:space="preserve">This Policy should be read in conjunction with the general Suffolk Trading Standards Enforcement Policy, the principles of which all apply to this Policy. </w:t>
      </w:r>
    </w:p>
    <w:p w:rsidRPr="00532434" w:rsidR="00D87EBE" w:rsidP="00FB0C4B" w:rsidRDefault="00D87EBE" w14:paraId="7757F8FF" w14:textId="77777777">
      <w:pPr>
        <w:pStyle w:val="Default"/>
        <w:jc w:val="both"/>
      </w:pPr>
    </w:p>
    <w:p w:rsidRPr="00532434" w:rsidR="00D87EBE" w:rsidP="00FB0C4B" w:rsidRDefault="00D87EBE" w14:paraId="04F85776" w14:textId="77777777">
      <w:pPr>
        <w:pStyle w:val="Default"/>
        <w:numPr>
          <w:ilvl w:val="0"/>
          <w:numId w:val="37"/>
        </w:numPr>
        <w:jc w:val="both"/>
        <w:rPr>
          <w:b/>
        </w:rPr>
      </w:pPr>
      <w:r w:rsidRPr="00532434">
        <w:rPr>
          <w:b/>
        </w:rPr>
        <w:t>Scope</w:t>
      </w:r>
    </w:p>
    <w:p w:rsidRPr="00532434" w:rsidR="00D87EBE" w:rsidP="00FB0C4B" w:rsidRDefault="00D87EBE" w14:paraId="463FF10E" w14:textId="77777777">
      <w:pPr>
        <w:pStyle w:val="Default"/>
        <w:jc w:val="both"/>
        <w:rPr>
          <w:b/>
        </w:rPr>
      </w:pPr>
    </w:p>
    <w:p w:rsidRPr="00532434" w:rsidR="00D87EBE" w:rsidP="00FB0C4B" w:rsidRDefault="00D87EBE" w14:paraId="1E0F7FDA" w14:textId="77777777">
      <w:pPr>
        <w:pStyle w:val="Default"/>
        <w:jc w:val="both"/>
      </w:pPr>
      <w:r w:rsidRPr="00532434">
        <w:t>The sports grounds primarily covered by these arrangements, for which Safety Certificates are issued by Suffolk County Council;</w:t>
      </w:r>
    </w:p>
    <w:p w:rsidRPr="00532434" w:rsidR="00D87EBE" w:rsidP="00FB0C4B" w:rsidRDefault="00D87EBE" w14:paraId="53A898E6" w14:textId="77777777">
      <w:pPr>
        <w:pStyle w:val="Default"/>
        <w:jc w:val="both"/>
      </w:pPr>
    </w:p>
    <w:p w:rsidRPr="00532434" w:rsidR="00D87EBE" w:rsidP="00FB0C4B" w:rsidRDefault="00D87EBE" w14:paraId="05FE8D12" w14:textId="77777777">
      <w:pPr>
        <w:pStyle w:val="Default"/>
        <w:jc w:val="both"/>
        <w:rPr>
          <w:b/>
        </w:rPr>
      </w:pPr>
      <w:r w:rsidRPr="00532434">
        <w:rPr>
          <w:b/>
        </w:rPr>
        <w:t>Designated Sports Grounds;</w:t>
      </w:r>
    </w:p>
    <w:p w:rsidRPr="00532434" w:rsidR="00D87EBE" w:rsidP="00FB0C4B" w:rsidRDefault="00D87EBE" w14:paraId="11769308" w14:textId="77777777">
      <w:pPr>
        <w:pStyle w:val="Default"/>
        <w:jc w:val="both"/>
        <w:rPr>
          <w:b/>
        </w:rPr>
      </w:pPr>
    </w:p>
    <w:p w:rsidRPr="00532434" w:rsidR="00D87EBE" w:rsidP="00FB0C4B" w:rsidRDefault="00D87EBE" w14:paraId="0CF342D2" w14:textId="77777777">
      <w:pPr>
        <w:pStyle w:val="Default"/>
        <w:jc w:val="both"/>
      </w:pPr>
      <w:r w:rsidRPr="00532434">
        <w:t>Ipswich Town Football Club</w:t>
      </w:r>
    </w:p>
    <w:p w:rsidRPr="00532434" w:rsidR="00D87EBE" w:rsidP="00FB0C4B" w:rsidRDefault="00D87EBE" w14:paraId="6B572C82" w14:textId="77777777">
      <w:pPr>
        <w:pStyle w:val="Default"/>
        <w:jc w:val="both"/>
      </w:pPr>
    </w:p>
    <w:p w:rsidRPr="00532434" w:rsidR="00D87EBE" w:rsidP="00FB0C4B" w:rsidRDefault="00D87EBE" w14:paraId="0A53563D" w14:textId="77777777">
      <w:pPr>
        <w:pStyle w:val="Default"/>
        <w:jc w:val="both"/>
        <w:rPr>
          <w:b/>
        </w:rPr>
      </w:pPr>
      <w:r w:rsidRPr="00532434">
        <w:rPr>
          <w:b/>
        </w:rPr>
        <w:t>Regulated Stands;</w:t>
      </w:r>
    </w:p>
    <w:p w:rsidRPr="00532434" w:rsidR="00D87EBE" w:rsidP="00FB0C4B" w:rsidRDefault="00D87EBE" w14:paraId="3A2021ED" w14:textId="77777777">
      <w:pPr>
        <w:pStyle w:val="Default"/>
        <w:jc w:val="both"/>
        <w:rPr>
          <w:b/>
        </w:rPr>
      </w:pPr>
    </w:p>
    <w:p w:rsidRPr="00532434" w:rsidR="00D87EBE" w:rsidP="00FB0C4B" w:rsidRDefault="00D87EBE" w14:paraId="7DC24AAC" w14:textId="77777777">
      <w:pPr>
        <w:pStyle w:val="Default"/>
        <w:jc w:val="both"/>
      </w:pPr>
      <w:r w:rsidRPr="00532434">
        <w:t>Newmarket Rowley Mile Racecourse</w:t>
      </w:r>
    </w:p>
    <w:p w:rsidRPr="00532434" w:rsidR="00D87EBE" w:rsidP="00FB0C4B" w:rsidRDefault="00D87EBE" w14:paraId="21B7B6ED" w14:textId="77777777">
      <w:pPr>
        <w:pStyle w:val="Default"/>
        <w:jc w:val="both"/>
      </w:pPr>
    </w:p>
    <w:p w:rsidRPr="00532434" w:rsidR="00D87EBE" w:rsidP="00FB0C4B" w:rsidRDefault="00D87EBE" w14:paraId="0A276629" w14:textId="77777777">
      <w:pPr>
        <w:pStyle w:val="Default"/>
        <w:jc w:val="both"/>
      </w:pPr>
      <w:r w:rsidRPr="00532434">
        <w:t>Under the provisions of section 10 of the Safety of Sports Grounds Act 1975 the Council has the power to issue a prohibition notice to limit the capacity, or totally prohibit the admittance of spectators to any sports ground within the County of Suffolk.</w:t>
      </w:r>
    </w:p>
    <w:p w:rsidRPr="00532434" w:rsidR="00D87EBE" w:rsidP="00FB0C4B" w:rsidRDefault="00D87EBE" w14:paraId="2486F775" w14:textId="77777777">
      <w:pPr>
        <w:pStyle w:val="Default"/>
        <w:jc w:val="both"/>
      </w:pPr>
    </w:p>
    <w:p w:rsidRPr="00532434" w:rsidR="00D87EBE" w:rsidP="00FB0C4B" w:rsidRDefault="00D87EBE" w14:paraId="68CFFEB2" w14:textId="77777777">
      <w:pPr>
        <w:pStyle w:val="Default"/>
        <w:numPr>
          <w:ilvl w:val="0"/>
          <w:numId w:val="37"/>
        </w:numPr>
        <w:jc w:val="both"/>
        <w:rPr>
          <w:b/>
        </w:rPr>
      </w:pPr>
      <w:r w:rsidRPr="00532434">
        <w:rPr>
          <w:b/>
        </w:rPr>
        <w:t>Legislation and Guidance</w:t>
      </w:r>
    </w:p>
    <w:p w:rsidRPr="00532434" w:rsidR="00D87EBE" w:rsidP="00FB0C4B" w:rsidRDefault="00D87EBE" w14:paraId="0E6ADF8A" w14:textId="77777777">
      <w:pPr>
        <w:pStyle w:val="Default"/>
        <w:jc w:val="both"/>
        <w:rPr>
          <w:b/>
        </w:rPr>
      </w:pPr>
    </w:p>
    <w:p w:rsidRPr="00532434" w:rsidR="00D87EBE" w:rsidP="00FB0C4B" w:rsidRDefault="00D87EBE" w14:paraId="350E61B0" w14:textId="77777777">
      <w:pPr>
        <w:pStyle w:val="Default"/>
        <w:jc w:val="both"/>
      </w:pPr>
      <w:r w:rsidRPr="00532434">
        <w:t>The following relevant legislation applies to sports grounds safety enforcement and should be read in conjunction with this Policy;</w:t>
      </w:r>
    </w:p>
    <w:p w:rsidRPr="00532434" w:rsidR="00D87EBE" w:rsidP="00FB0C4B" w:rsidRDefault="00D87EBE" w14:paraId="03C66B64" w14:textId="77777777">
      <w:pPr>
        <w:pStyle w:val="Default"/>
        <w:jc w:val="both"/>
      </w:pPr>
    </w:p>
    <w:p w:rsidRPr="00532434" w:rsidR="00D87EBE" w:rsidP="00FB0C4B" w:rsidRDefault="00D87EBE" w14:paraId="6E12959F" w14:textId="77777777">
      <w:pPr>
        <w:pStyle w:val="Default"/>
        <w:jc w:val="both"/>
        <w:rPr>
          <w:b/>
        </w:rPr>
      </w:pPr>
      <w:r w:rsidRPr="00532434">
        <w:rPr>
          <w:b/>
        </w:rPr>
        <w:t>Safety of Sports Grounds Act 1975</w:t>
      </w:r>
    </w:p>
    <w:p w:rsidRPr="00532434" w:rsidR="00D87EBE" w:rsidP="00FB0C4B" w:rsidRDefault="00D87EBE" w14:paraId="5A02DABD" w14:textId="77777777">
      <w:pPr>
        <w:pStyle w:val="Default"/>
        <w:jc w:val="both"/>
        <w:rPr>
          <w:b/>
        </w:rPr>
      </w:pPr>
    </w:p>
    <w:p w:rsidRPr="00532434" w:rsidR="00D87EBE" w:rsidP="00FB0C4B" w:rsidRDefault="00D87EBE" w14:paraId="3A8E66BE" w14:textId="77777777">
      <w:pPr>
        <w:pStyle w:val="Default"/>
        <w:jc w:val="both"/>
      </w:pPr>
      <w:r w:rsidRPr="00532434">
        <w:t>Section 10B provides that it shall be the duty of every local authority to enforce within their area the provisions of the Act and of Regulations made under it.</w:t>
      </w:r>
    </w:p>
    <w:p w:rsidRPr="00532434" w:rsidR="00D87EBE" w:rsidP="00FB0C4B" w:rsidRDefault="00D87EBE" w14:paraId="040857F3" w14:textId="77777777">
      <w:pPr>
        <w:pStyle w:val="Default"/>
        <w:jc w:val="both"/>
      </w:pPr>
    </w:p>
    <w:p w:rsidRPr="00532434" w:rsidR="00D87EBE" w:rsidP="00FB0C4B" w:rsidRDefault="00D87EBE" w14:paraId="4F22BF59" w14:textId="77777777">
      <w:pPr>
        <w:pStyle w:val="Default"/>
        <w:jc w:val="both"/>
        <w:rPr>
          <w:b/>
        </w:rPr>
      </w:pPr>
      <w:r w:rsidRPr="00532434">
        <w:rPr>
          <w:b/>
        </w:rPr>
        <w:t>Fire Safety and Places of Sport Act 1987</w:t>
      </w:r>
    </w:p>
    <w:p w:rsidRPr="00532434" w:rsidR="00D87EBE" w:rsidP="00FB0C4B" w:rsidRDefault="00D87EBE" w14:paraId="03138A69" w14:textId="77777777">
      <w:pPr>
        <w:pStyle w:val="Default"/>
        <w:jc w:val="both"/>
      </w:pPr>
    </w:p>
    <w:p w:rsidRPr="00532434" w:rsidR="00D87EBE" w:rsidP="00FB0C4B" w:rsidRDefault="00D87EBE" w14:paraId="0BECEABE" w14:textId="6E3DABA2">
      <w:pPr>
        <w:pStyle w:val="Default"/>
        <w:jc w:val="both"/>
      </w:pPr>
      <w:r w:rsidRPr="00532434">
        <w:t>Section 34 provides that it shall be the duty of every local authority to enforce within their area provisions regarding Regulated Stands.</w:t>
      </w:r>
    </w:p>
    <w:p w:rsidRPr="00532434" w:rsidR="00D87EBE" w:rsidP="00FB0C4B" w:rsidRDefault="00D87EBE" w14:paraId="7231ACDC" w14:textId="4EEE6827">
      <w:pPr>
        <w:pStyle w:val="Default"/>
        <w:jc w:val="both"/>
      </w:pPr>
      <w:r w:rsidRPr="00532434">
        <w:t xml:space="preserve"> </w:t>
      </w:r>
    </w:p>
    <w:p w:rsidRPr="00532434" w:rsidR="00D87EBE" w:rsidP="00FB0C4B" w:rsidRDefault="00D87EBE" w14:paraId="76C15780" w14:textId="77777777">
      <w:pPr>
        <w:pStyle w:val="Default"/>
        <w:numPr>
          <w:ilvl w:val="0"/>
          <w:numId w:val="37"/>
        </w:numPr>
        <w:jc w:val="both"/>
        <w:rPr>
          <w:b/>
        </w:rPr>
      </w:pPr>
      <w:r w:rsidRPr="00532434">
        <w:rPr>
          <w:b/>
        </w:rPr>
        <w:t>Choices of enforcement action</w:t>
      </w:r>
    </w:p>
    <w:p w:rsidRPr="00532434" w:rsidR="00D87EBE" w:rsidP="00FB0C4B" w:rsidRDefault="00D87EBE" w14:paraId="7246B2C6" w14:textId="77777777">
      <w:pPr>
        <w:pStyle w:val="Default"/>
        <w:jc w:val="both"/>
        <w:rPr>
          <w:b/>
        </w:rPr>
      </w:pPr>
    </w:p>
    <w:p w:rsidRPr="00532434" w:rsidR="00D87EBE" w:rsidP="00FB0C4B" w:rsidRDefault="00D87EBE" w14:paraId="1D4537B7" w14:textId="77777777">
      <w:pPr>
        <w:pStyle w:val="Default"/>
        <w:jc w:val="both"/>
      </w:pPr>
      <w:r w:rsidRPr="00532434">
        <w:t>There are several courses of action open to the council’s enforcement officers depending on the different circumstances that may be encountered or apply to the situation. The choices of enforcement action are:</w:t>
      </w:r>
    </w:p>
    <w:p w:rsidRPr="00532434" w:rsidR="00D87EBE" w:rsidP="00FB0C4B" w:rsidRDefault="00D87EBE" w14:paraId="03771C9C" w14:textId="77777777">
      <w:pPr>
        <w:pStyle w:val="Default"/>
        <w:jc w:val="both"/>
      </w:pPr>
    </w:p>
    <w:p w:rsidRPr="00532434" w:rsidR="00D87EBE" w:rsidP="00BD2A8D" w:rsidRDefault="00D87EBE" w14:paraId="0B9137D6" w14:textId="77777777">
      <w:pPr>
        <w:pStyle w:val="Default"/>
        <w:numPr>
          <w:ilvl w:val="0"/>
          <w:numId w:val="45"/>
        </w:numPr>
        <w:jc w:val="both"/>
      </w:pPr>
      <w:r w:rsidRPr="00532434">
        <w:t>Advice, Guidance and Support</w:t>
      </w:r>
    </w:p>
    <w:p w:rsidRPr="00532434" w:rsidR="00D87EBE" w:rsidP="00BD2A8D" w:rsidRDefault="00D87EBE" w14:paraId="435C65D6" w14:textId="2B1E7537">
      <w:pPr>
        <w:pStyle w:val="Default"/>
        <w:numPr>
          <w:ilvl w:val="0"/>
          <w:numId w:val="45"/>
        </w:numPr>
        <w:jc w:val="both"/>
      </w:pPr>
      <w:r w:rsidRPr="00532434">
        <w:lastRenderedPageBreak/>
        <w:t>Verbal or Written Warning</w:t>
      </w:r>
    </w:p>
    <w:p w:rsidRPr="00532434" w:rsidR="00D87EBE" w:rsidP="00BD2A8D" w:rsidRDefault="00D87EBE" w14:paraId="19701D71" w14:textId="4A8378AD">
      <w:pPr>
        <w:pStyle w:val="Default"/>
        <w:numPr>
          <w:ilvl w:val="0"/>
          <w:numId w:val="45"/>
        </w:numPr>
        <w:jc w:val="both"/>
      </w:pPr>
      <w:r w:rsidRPr="00532434">
        <w:t>Reduction in Capacity</w:t>
      </w:r>
    </w:p>
    <w:p w:rsidRPr="00532434" w:rsidR="00D87EBE" w:rsidP="00BD2A8D" w:rsidRDefault="00D87EBE" w14:paraId="40268043" w14:textId="30B95971">
      <w:pPr>
        <w:pStyle w:val="Default"/>
        <w:numPr>
          <w:ilvl w:val="0"/>
          <w:numId w:val="45"/>
        </w:numPr>
        <w:jc w:val="both"/>
      </w:pPr>
      <w:r w:rsidRPr="00532434">
        <w:t>Prohibition Notice</w:t>
      </w:r>
    </w:p>
    <w:p w:rsidRPr="00532434" w:rsidR="00D87EBE" w:rsidP="00BD2A8D" w:rsidRDefault="00D87EBE" w14:paraId="2261911C" w14:textId="51A920A9">
      <w:pPr>
        <w:pStyle w:val="Default"/>
        <w:numPr>
          <w:ilvl w:val="0"/>
          <w:numId w:val="45"/>
        </w:numPr>
        <w:jc w:val="both"/>
      </w:pPr>
      <w:r w:rsidRPr="00532434">
        <w:t>Simple Caution</w:t>
      </w:r>
    </w:p>
    <w:p w:rsidRPr="00532434" w:rsidR="00D87EBE" w:rsidP="00BD2A8D" w:rsidRDefault="00D87EBE" w14:paraId="1408A8AE" w14:textId="77777777">
      <w:pPr>
        <w:pStyle w:val="Default"/>
        <w:numPr>
          <w:ilvl w:val="0"/>
          <w:numId w:val="45"/>
        </w:numPr>
        <w:jc w:val="both"/>
      </w:pPr>
      <w:r w:rsidRPr="00532434">
        <w:t>Prosecution</w:t>
      </w:r>
    </w:p>
    <w:p w:rsidRPr="00532434" w:rsidR="00D87EBE" w:rsidP="00FB0C4B" w:rsidRDefault="00D87EBE" w14:paraId="2B3BD5F5" w14:textId="77777777">
      <w:pPr>
        <w:pStyle w:val="Default"/>
        <w:jc w:val="both"/>
      </w:pPr>
    </w:p>
    <w:p w:rsidRPr="00532434" w:rsidR="00D87EBE" w:rsidP="00FB0C4B" w:rsidRDefault="00D87EBE" w14:paraId="318BDB11" w14:textId="77777777">
      <w:pPr>
        <w:pStyle w:val="Default"/>
        <w:numPr>
          <w:ilvl w:val="0"/>
          <w:numId w:val="43"/>
        </w:numPr>
        <w:jc w:val="both"/>
        <w:rPr>
          <w:b/>
        </w:rPr>
      </w:pPr>
      <w:r w:rsidRPr="00532434">
        <w:rPr>
          <w:b/>
        </w:rPr>
        <w:t>Advice, Guidance and Support</w:t>
      </w:r>
    </w:p>
    <w:p w:rsidRPr="00532434" w:rsidR="00D87EBE" w:rsidP="00FB0C4B" w:rsidRDefault="00D87EBE" w14:paraId="5D5FE474" w14:textId="77777777">
      <w:pPr>
        <w:pStyle w:val="Default"/>
        <w:jc w:val="both"/>
        <w:rPr>
          <w:b/>
        </w:rPr>
      </w:pPr>
    </w:p>
    <w:p w:rsidRPr="00532434" w:rsidR="00D87EBE" w:rsidP="00FB0C4B" w:rsidRDefault="00D87EBE" w14:paraId="42CC28B5" w14:textId="77777777">
      <w:pPr>
        <w:pStyle w:val="Default"/>
        <w:jc w:val="both"/>
      </w:pPr>
      <w:r w:rsidRPr="00532434">
        <w:t>This will be used under the same principles detailed in the general Suffolk Trading Standards Enforcement Policy.</w:t>
      </w:r>
    </w:p>
    <w:p w:rsidRPr="00532434" w:rsidR="00D87EBE" w:rsidP="00FB0C4B" w:rsidRDefault="00D87EBE" w14:paraId="2D42772E" w14:textId="77777777">
      <w:pPr>
        <w:pStyle w:val="Default"/>
        <w:jc w:val="both"/>
      </w:pPr>
    </w:p>
    <w:p w:rsidRPr="00532434" w:rsidR="00D87EBE" w:rsidP="00FB0C4B" w:rsidRDefault="00D87EBE" w14:paraId="69E2E7DD" w14:textId="77777777">
      <w:pPr>
        <w:pStyle w:val="Default"/>
        <w:numPr>
          <w:ilvl w:val="0"/>
          <w:numId w:val="43"/>
        </w:numPr>
        <w:jc w:val="both"/>
        <w:rPr>
          <w:b/>
        </w:rPr>
      </w:pPr>
      <w:r w:rsidRPr="00532434">
        <w:rPr>
          <w:b/>
        </w:rPr>
        <w:t>Verbal or Written Warning</w:t>
      </w:r>
    </w:p>
    <w:p w:rsidRPr="00532434" w:rsidR="00D87EBE" w:rsidP="00FB0C4B" w:rsidRDefault="00D87EBE" w14:paraId="40E6066A" w14:textId="77777777">
      <w:pPr>
        <w:pStyle w:val="Default"/>
        <w:jc w:val="both"/>
        <w:rPr>
          <w:b/>
        </w:rPr>
      </w:pPr>
      <w:r w:rsidRPr="00532434">
        <w:rPr>
          <w:b/>
        </w:rPr>
        <w:tab/>
      </w:r>
    </w:p>
    <w:p w:rsidRPr="00532434" w:rsidR="00D87EBE" w:rsidP="00FB0C4B" w:rsidRDefault="00D87EBE" w14:paraId="5390F762" w14:textId="77777777">
      <w:pPr>
        <w:pStyle w:val="Default"/>
        <w:jc w:val="both"/>
      </w:pPr>
      <w:r w:rsidRPr="00532434">
        <w:t>This will be used under the same principles detailed in the general Suffolk Trading Standards Enforcement Policy.</w:t>
      </w:r>
    </w:p>
    <w:p w:rsidRPr="00532434" w:rsidR="00D87EBE" w:rsidP="00FB0C4B" w:rsidRDefault="00D87EBE" w14:paraId="7B6F537F" w14:textId="77777777">
      <w:pPr>
        <w:pStyle w:val="Default"/>
        <w:jc w:val="both"/>
        <w:rPr>
          <w:b/>
        </w:rPr>
      </w:pPr>
    </w:p>
    <w:p w:rsidRPr="00532434" w:rsidR="00D87EBE" w:rsidP="00FB0C4B" w:rsidRDefault="00D87EBE" w14:paraId="78E33ABA" w14:textId="77777777">
      <w:pPr>
        <w:pStyle w:val="Default"/>
        <w:numPr>
          <w:ilvl w:val="0"/>
          <w:numId w:val="43"/>
        </w:numPr>
        <w:jc w:val="both"/>
        <w:rPr>
          <w:b/>
        </w:rPr>
      </w:pPr>
      <w:r w:rsidRPr="00532434">
        <w:rPr>
          <w:b/>
        </w:rPr>
        <w:t xml:space="preserve">Reduction in capacity   </w:t>
      </w:r>
    </w:p>
    <w:p w:rsidRPr="00532434" w:rsidR="00D87EBE" w:rsidP="00FB0C4B" w:rsidRDefault="00D87EBE" w14:paraId="4050DAB2" w14:textId="77777777">
      <w:pPr>
        <w:pStyle w:val="Default"/>
        <w:jc w:val="both"/>
      </w:pPr>
    </w:p>
    <w:p w:rsidRPr="00532434" w:rsidR="00D87EBE" w:rsidP="00FB0C4B" w:rsidRDefault="00D87EBE" w14:paraId="78E2B281" w14:textId="77777777">
      <w:pPr>
        <w:pStyle w:val="Default"/>
        <w:jc w:val="both"/>
      </w:pPr>
      <w:r w:rsidRPr="00532434">
        <w:t xml:space="preserve">Reducing the capacity of all, or part of, a sports ground is a formal action which would be appropriate in the following situations: </w:t>
      </w:r>
    </w:p>
    <w:p w:rsidRPr="00532434" w:rsidR="00D87EBE" w:rsidP="00FB0C4B" w:rsidRDefault="00D87EBE" w14:paraId="2BE708E2" w14:textId="77777777">
      <w:pPr>
        <w:pStyle w:val="Default"/>
        <w:jc w:val="both"/>
      </w:pPr>
    </w:p>
    <w:p w:rsidRPr="00532434" w:rsidR="00D87EBE" w:rsidP="00BD2A8D" w:rsidRDefault="00D87EBE" w14:paraId="594C900E" w14:textId="77777777">
      <w:pPr>
        <w:pStyle w:val="Default"/>
        <w:numPr>
          <w:ilvl w:val="0"/>
          <w:numId w:val="39"/>
        </w:numPr>
        <w:tabs>
          <w:tab w:val="clear" w:pos="2520"/>
          <w:tab w:val="num" w:pos="360"/>
        </w:tabs>
        <w:ind w:left="360"/>
        <w:jc w:val="both"/>
      </w:pPr>
      <w:r w:rsidRPr="00532434">
        <w:t>if an incident suggests that the management of a sports ground is performing poorly; or</w:t>
      </w:r>
    </w:p>
    <w:p w:rsidRPr="00532434" w:rsidR="00D87EBE" w:rsidP="00FB0C4B" w:rsidRDefault="00D87EBE" w14:paraId="693F4DA3" w14:textId="77777777">
      <w:pPr>
        <w:pStyle w:val="Default"/>
        <w:jc w:val="both"/>
      </w:pPr>
    </w:p>
    <w:p w:rsidRPr="00532434" w:rsidR="00D87EBE" w:rsidP="00BD2A8D" w:rsidRDefault="00D87EBE" w14:paraId="3C925D47" w14:textId="77777777">
      <w:pPr>
        <w:pStyle w:val="Default"/>
        <w:numPr>
          <w:ilvl w:val="0"/>
          <w:numId w:val="40"/>
        </w:numPr>
        <w:tabs>
          <w:tab w:val="clear" w:pos="2520"/>
          <w:tab w:val="num" w:pos="360"/>
        </w:tabs>
        <w:ind w:left="360"/>
        <w:jc w:val="both"/>
      </w:pPr>
      <w:r w:rsidRPr="00532434">
        <w:t>if the Council’s inspecting personnel identify any deficiencies in the fabric, equipment, records or management systems, which the authority has not already taken into account when accepting or calculating the permitted capacity.</w:t>
      </w:r>
    </w:p>
    <w:p w:rsidRPr="00532434" w:rsidR="00D87EBE" w:rsidP="00FB0C4B" w:rsidRDefault="00D87EBE" w14:paraId="56113852" w14:textId="77777777">
      <w:pPr>
        <w:pStyle w:val="Default"/>
        <w:jc w:val="both"/>
      </w:pPr>
    </w:p>
    <w:p w:rsidRPr="00532434" w:rsidR="00D87EBE" w:rsidP="00FB0C4B" w:rsidRDefault="00D87EBE" w14:paraId="6DAA7F39" w14:textId="77777777">
      <w:pPr>
        <w:pStyle w:val="Default"/>
        <w:jc w:val="both"/>
      </w:pPr>
      <w:r w:rsidRPr="00532434">
        <w:t xml:space="preserve">Any new capacity should be properly calculated having regard to the change in circumstances and the procedures to be followed will be the same as during the routine annual review of the safety certificate. Ground management should be invited to submit its proposed revised (P) or (S) factor, but the Council reserve the right to overrule this if appropriate.  </w:t>
      </w:r>
    </w:p>
    <w:p w:rsidRPr="00532434" w:rsidR="00D87EBE" w:rsidP="00FB0C4B" w:rsidRDefault="00D87EBE" w14:paraId="40DF9AF4" w14:textId="77777777">
      <w:pPr>
        <w:pStyle w:val="Default"/>
        <w:jc w:val="both"/>
      </w:pPr>
    </w:p>
    <w:p w:rsidRPr="00532434" w:rsidR="00D87EBE" w:rsidP="00FB0C4B" w:rsidRDefault="00D87EBE" w14:paraId="5D48562F" w14:textId="6056E0B7">
      <w:pPr>
        <w:pStyle w:val="Default"/>
        <w:jc w:val="both"/>
      </w:pPr>
      <w:r w:rsidRPr="00532434">
        <w:t xml:space="preserve">When reducing a </w:t>
      </w:r>
      <w:r w:rsidRPr="00532434" w:rsidR="00742A48">
        <w:t>capacity,</w:t>
      </w:r>
      <w:r w:rsidRPr="00532434">
        <w:t xml:space="preserve"> it is important that</w:t>
      </w:r>
    </w:p>
    <w:p w:rsidRPr="00532434" w:rsidR="00D87EBE" w:rsidP="00FB0C4B" w:rsidRDefault="00D87EBE" w14:paraId="3B1F3738" w14:textId="77777777">
      <w:pPr>
        <w:pStyle w:val="Default"/>
        <w:jc w:val="both"/>
      </w:pPr>
    </w:p>
    <w:p w:rsidRPr="00532434" w:rsidR="00D87EBE" w:rsidP="00BD2A8D" w:rsidRDefault="00D87EBE" w14:paraId="379639A2" w14:textId="77777777">
      <w:pPr>
        <w:pStyle w:val="Default"/>
        <w:numPr>
          <w:ilvl w:val="0"/>
          <w:numId w:val="41"/>
        </w:numPr>
        <w:tabs>
          <w:tab w:val="clear" w:pos="2520"/>
          <w:tab w:val="num" w:pos="360"/>
        </w:tabs>
        <w:ind w:left="360"/>
        <w:jc w:val="both"/>
      </w:pPr>
      <w:r w:rsidRPr="00532434">
        <w:t>officers act reasonably and in accordance with due process, not least because the certificate holder has a right of appeal against any reduction in capacity; and</w:t>
      </w:r>
    </w:p>
    <w:p w:rsidRPr="00532434" w:rsidR="00D87EBE" w:rsidP="00FB0C4B" w:rsidRDefault="00D87EBE" w14:paraId="192DD0F9" w14:textId="77777777">
      <w:pPr>
        <w:pStyle w:val="Default"/>
        <w:jc w:val="both"/>
      </w:pPr>
    </w:p>
    <w:p w:rsidRPr="00532434" w:rsidR="00D87EBE" w:rsidP="00BD2A8D" w:rsidRDefault="00D87EBE" w14:paraId="0DB6A120" w14:textId="77777777">
      <w:pPr>
        <w:pStyle w:val="Default"/>
        <w:numPr>
          <w:ilvl w:val="0"/>
          <w:numId w:val="41"/>
        </w:numPr>
        <w:tabs>
          <w:tab w:val="clear" w:pos="2520"/>
          <w:tab w:val="num" w:pos="360"/>
        </w:tabs>
        <w:ind w:left="360"/>
        <w:jc w:val="both"/>
      </w:pPr>
      <w:r w:rsidRPr="00532434">
        <w:t>a formal amendment to the safety certificate is issued.</w:t>
      </w:r>
    </w:p>
    <w:p w:rsidRPr="00532434" w:rsidR="00D87EBE" w:rsidP="00FB0C4B" w:rsidRDefault="00D87EBE" w14:paraId="324FF2BC" w14:textId="77777777">
      <w:pPr>
        <w:pStyle w:val="Default"/>
        <w:jc w:val="both"/>
      </w:pPr>
    </w:p>
    <w:p w:rsidRPr="00532434" w:rsidR="00D87EBE" w:rsidP="00FB0C4B" w:rsidRDefault="00D87EBE" w14:paraId="401FF349" w14:textId="77777777">
      <w:pPr>
        <w:pStyle w:val="Default"/>
        <w:jc w:val="both"/>
      </w:pPr>
      <w:r w:rsidRPr="00532434">
        <w:t xml:space="preserve">Once the remedial measures or improvements have been implemented consideration should be given to restoring the original capacity.  </w:t>
      </w:r>
    </w:p>
    <w:p w:rsidRPr="00532434" w:rsidR="00D87EBE" w:rsidP="00FB0C4B" w:rsidRDefault="00D87EBE" w14:paraId="24C4FAF5" w14:textId="77777777">
      <w:pPr>
        <w:pStyle w:val="Default"/>
        <w:jc w:val="both"/>
      </w:pPr>
    </w:p>
    <w:p w:rsidRPr="00532434" w:rsidR="00D87EBE" w:rsidP="00FB0C4B" w:rsidRDefault="00D87EBE" w14:paraId="33DC4EC3" w14:textId="77777777">
      <w:pPr>
        <w:pStyle w:val="Default"/>
        <w:numPr>
          <w:ilvl w:val="0"/>
          <w:numId w:val="43"/>
        </w:numPr>
        <w:jc w:val="both"/>
        <w:rPr>
          <w:b/>
        </w:rPr>
      </w:pPr>
      <w:r w:rsidRPr="00532434">
        <w:rPr>
          <w:b/>
        </w:rPr>
        <w:t>Prohibition notice</w:t>
      </w:r>
    </w:p>
    <w:p w:rsidRPr="00532434" w:rsidR="00D87EBE" w:rsidP="00FB0C4B" w:rsidRDefault="00D87EBE" w14:paraId="25C66CCD" w14:textId="77777777">
      <w:pPr>
        <w:pStyle w:val="Default"/>
        <w:jc w:val="both"/>
        <w:rPr>
          <w:b/>
        </w:rPr>
      </w:pPr>
    </w:p>
    <w:p w:rsidRPr="00532434" w:rsidR="00D87EBE" w:rsidP="00FB0C4B" w:rsidRDefault="00D87EBE" w14:paraId="4848C5C5" w14:textId="77777777">
      <w:pPr>
        <w:pStyle w:val="Default"/>
        <w:jc w:val="both"/>
      </w:pPr>
      <w:r w:rsidRPr="00532434">
        <w:t>Unlike the other provisions of the 1975 and 1987 Acts, the power to issue a prohibition notice applies to all sports grounds, as defined in section 17 of the 1975 Act, including those that are neither designated nor contain a regulated stand.</w:t>
      </w:r>
    </w:p>
    <w:p w:rsidRPr="00532434" w:rsidR="00D87EBE" w:rsidP="00FB0C4B" w:rsidRDefault="00D87EBE" w14:paraId="2AD7F37B" w14:textId="77777777">
      <w:pPr>
        <w:pStyle w:val="Default"/>
        <w:jc w:val="both"/>
      </w:pPr>
    </w:p>
    <w:p w:rsidRPr="00532434" w:rsidR="00D87EBE" w:rsidP="00FB0C4B" w:rsidRDefault="00D87EBE" w14:paraId="39A47227" w14:textId="77777777">
      <w:pPr>
        <w:pStyle w:val="Default"/>
        <w:jc w:val="both"/>
      </w:pPr>
      <w:r w:rsidRPr="00532434">
        <w:t xml:space="preserve">Section 10 of the 1975 Act empowers the Council to issue a prohibition notice in </w:t>
      </w:r>
      <w:r w:rsidRPr="00532434">
        <w:lastRenderedPageBreak/>
        <w:t>respect of all or part of any sports ground if it considers that “the admission of spectators to a sports ground or any part of a sports ground involves or will involve a risk to them so serious, that, until steps have been taken to reduce it to a reasonable level, admission of spectators to the sports ground or that part of the sports ground ought to be prohibited or restricted”. A prohibition notice is therefore a measure of last resort and will only be used where an amendment of the safety certificate (where issued) is not considered an effective way of dealing with the risk(s)</w:t>
      </w:r>
    </w:p>
    <w:p w:rsidRPr="00532434" w:rsidR="00D87EBE" w:rsidP="00FB0C4B" w:rsidRDefault="00D87EBE" w14:paraId="74BC0C0B" w14:textId="77777777">
      <w:pPr>
        <w:pStyle w:val="Default"/>
        <w:jc w:val="both"/>
      </w:pPr>
    </w:p>
    <w:p w:rsidRPr="00532434" w:rsidR="00D87EBE" w:rsidP="00FB0C4B" w:rsidRDefault="00D87EBE" w14:paraId="6D2705F1" w14:textId="77777777">
      <w:pPr>
        <w:pStyle w:val="Default"/>
        <w:jc w:val="both"/>
      </w:pPr>
      <w:r w:rsidRPr="00532434">
        <w:t xml:space="preserve">When issuing a prohibition notice consideration will be given as to whether the risk to spectators is, or may be, imminent and if so the notice will take effect as soon as it is served. In all other cases it will come into force at the times specified in the notice. </w:t>
      </w:r>
    </w:p>
    <w:p w:rsidRPr="00532434" w:rsidR="00D87EBE" w:rsidP="00FB0C4B" w:rsidRDefault="00D87EBE" w14:paraId="0D1BE9D0" w14:textId="77777777">
      <w:pPr>
        <w:pStyle w:val="Default"/>
        <w:jc w:val="both"/>
      </w:pPr>
    </w:p>
    <w:p w:rsidRPr="00532434" w:rsidR="00D87EBE" w:rsidP="00FB0C4B" w:rsidRDefault="00D87EBE" w14:paraId="02E57C66" w14:textId="77777777">
      <w:pPr>
        <w:pStyle w:val="Default"/>
        <w:jc w:val="both"/>
      </w:pPr>
      <w:r w:rsidRPr="00532434">
        <w:t>A prohibition notice will specify:</w:t>
      </w:r>
    </w:p>
    <w:p w:rsidRPr="00532434" w:rsidR="00D87EBE" w:rsidP="00FB0C4B" w:rsidRDefault="00D87EBE" w14:paraId="38E2127F" w14:textId="77777777">
      <w:pPr>
        <w:pStyle w:val="Default"/>
        <w:jc w:val="both"/>
      </w:pPr>
    </w:p>
    <w:p w:rsidRPr="00532434" w:rsidR="00D87EBE" w:rsidP="00BD2A8D" w:rsidRDefault="00D87EBE" w14:paraId="2FA6C21E" w14:textId="7FF7A6D7">
      <w:pPr>
        <w:pStyle w:val="Default"/>
        <w:numPr>
          <w:ilvl w:val="0"/>
          <w:numId w:val="42"/>
        </w:numPr>
        <w:jc w:val="both"/>
      </w:pPr>
      <w:r w:rsidRPr="00532434">
        <w:t>the nature of the risk to spectators; and</w:t>
      </w:r>
    </w:p>
    <w:p w:rsidRPr="00532434" w:rsidR="00D87EBE" w:rsidP="00FB0C4B" w:rsidRDefault="00D87EBE" w14:paraId="2B71C986" w14:textId="77777777">
      <w:pPr>
        <w:pStyle w:val="Default"/>
        <w:numPr>
          <w:ilvl w:val="0"/>
          <w:numId w:val="42"/>
        </w:numPr>
        <w:jc w:val="both"/>
      </w:pPr>
      <w:r w:rsidRPr="00532434">
        <w:t>the number of spectators that may be admitted to the sports ground, or any part of the sports ground, until appropriate steps have been taken to address those risks.</w:t>
      </w:r>
    </w:p>
    <w:p w:rsidRPr="00532434" w:rsidR="00D87EBE" w:rsidP="00FB0C4B" w:rsidRDefault="00D87EBE" w14:paraId="474CDE3D" w14:textId="77777777">
      <w:pPr>
        <w:pStyle w:val="Default"/>
        <w:jc w:val="both"/>
      </w:pPr>
    </w:p>
    <w:p w:rsidRPr="00532434" w:rsidR="00D87EBE" w:rsidP="00FB0C4B" w:rsidRDefault="00D87EBE" w14:paraId="6AF6ABB7" w14:textId="77777777">
      <w:pPr>
        <w:pStyle w:val="Default"/>
        <w:jc w:val="both"/>
      </w:pPr>
      <w:r w:rsidRPr="00532434">
        <w:t>The notice may also include directions as to the steps which will have to be taken to reduce the risk to a reasonable level.</w:t>
      </w:r>
    </w:p>
    <w:p w:rsidRPr="00532434" w:rsidR="00D87EBE" w:rsidP="00FB0C4B" w:rsidRDefault="00D87EBE" w14:paraId="1426785B" w14:textId="77777777">
      <w:pPr>
        <w:pStyle w:val="Default"/>
        <w:jc w:val="both"/>
      </w:pPr>
    </w:p>
    <w:p w:rsidRPr="00532434" w:rsidR="00D87EBE" w:rsidP="00FB0C4B" w:rsidRDefault="00D87EBE" w14:paraId="22E3EBB0" w14:textId="77777777">
      <w:pPr>
        <w:pStyle w:val="Default"/>
        <w:numPr>
          <w:ilvl w:val="0"/>
          <w:numId w:val="43"/>
        </w:numPr>
        <w:jc w:val="both"/>
        <w:rPr>
          <w:b/>
        </w:rPr>
      </w:pPr>
      <w:r w:rsidRPr="00532434">
        <w:rPr>
          <w:b/>
        </w:rPr>
        <w:t>Simple Caution</w:t>
      </w:r>
    </w:p>
    <w:p w:rsidRPr="00532434" w:rsidR="00D87EBE" w:rsidP="00FB0C4B" w:rsidRDefault="00D87EBE" w14:paraId="1CD5945C" w14:textId="77777777">
      <w:pPr>
        <w:pStyle w:val="Default"/>
        <w:jc w:val="both"/>
      </w:pPr>
    </w:p>
    <w:p w:rsidRPr="00532434" w:rsidR="00D87EBE" w:rsidP="00FB0C4B" w:rsidRDefault="00D87EBE" w14:paraId="48A94398" w14:textId="77777777">
      <w:pPr>
        <w:pStyle w:val="Default"/>
        <w:jc w:val="both"/>
      </w:pPr>
      <w:r w:rsidRPr="00532434">
        <w:t>This will be used under the same principles detailed in the general Suffolk Trading Standards Enforcement Policy.</w:t>
      </w:r>
    </w:p>
    <w:p w:rsidRPr="00532434" w:rsidR="00D87EBE" w:rsidP="00FB0C4B" w:rsidRDefault="00D87EBE" w14:paraId="20930493" w14:textId="77777777">
      <w:pPr>
        <w:pStyle w:val="Default"/>
        <w:jc w:val="both"/>
      </w:pPr>
    </w:p>
    <w:p w:rsidRPr="00532434" w:rsidR="00D87EBE" w:rsidP="00FB0C4B" w:rsidRDefault="00D87EBE" w14:paraId="43233386" w14:textId="77777777">
      <w:pPr>
        <w:pStyle w:val="Default"/>
        <w:numPr>
          <w:ilvl w:val="0"/>
          <w:numId w:val="43"/>
        </w:numPr>
        <w:jc w:val="both"/>
        <w:rPr>
          <w:b/>
        </w:rPr>
      </w:pPr>
      <w:r w:rsidRPr="00532434">
        <w:rPr>
          <w:b/>
        </w:rPr>
        <w:t>Prosecution</w:t>
      </w:r>
    </w:p>
    <w:p w:rsidRPr="00532434" w:rsidR="00D87EBE" w:rsidP="00FB0C4B" w:rsidRDefault="00D87EBE" w14:paraId="387C7765" w14:textId="77777777">
      <w:pPr>
        <w:pStyle w:val="Default"/>
        <w:jc w:val="both"/>
        <w:rPr>
          <w:b/>
        </w:rPr>
      </w:pPr>
    </w:p>
    <w:p w:rsidRPr="00532434" w:rsidR="00D87EBE" w:rsidP="00FB0C4B" w:rsidRDefault="00D87EBE" w14:paraId="19FD1DC2" w14:textId="77777777">
      <w:pPr>
        <w:pStyle w:val="Default"/>
        <w:jc w:val="both"/>
      </w:pPr>
      <w:r w:rsidRPr="00532434">
        <w:t>This will be used under the same principles detailed in the general Suffolk Trading Standards Enforcement Policy.</w:t>
      </w:r>
    </w:p>
    <w:p w:rsidRPr="00532434" w:rsidR="00D87EBE" w:rsidP="00FB0C4B" w:rsidRDefault="00D87EBE" w14:paraId="1E6B5A92" w14:textId="77777777">
      <w:pPr>
        <w:pStyle w:val="Default"/>
        <w:jc w:val="both"/>
        <w:rPr>
          <w:b/>
        </w:rPr>
      </w:pPr>
    </w:p>
    <w:p w:rsidRPr="00532434" w:rsidR="00D87EBE" w:rsidP="00FB0C4B" w:rsidRDefault="00D87EBE" w14:paraId="177E4445" w14:textId="77777777">
      <w:pPr>
        <w:pStyle w:val="Default"/>
        <w:numPr>
          <w:ilvl w:val="0"/>
          <w:numId w:val="37"/>
        </w:numPr>
        <w:jc w:val="both"/>
        <w:rPr>
          <w:b/>
        </w:rPr>
      </w:pPr>
      <w:r w:rsidRPr="00532434">
        <w:rPr>
          <w:b/>
        </w:rPr>
        <w:t>Appeals</w:t>
      </w:r>
    </w:p>
    <w:p w:rsidRPr="00532434" w:rsidR="00D87EBE" w:rsidP="00FB0C4B" w:rsidRDefault="00D87EBE" w14:paraId="620DCB81" w14:textId="77777777">
      <w:pPr>
        <w:pStyle w:val="Default"/>
        <w:jc w:val="both"/>
      </w:pPr>
    </w:p>
    <w:p w:rsidRPr="00532434" w:rsidR="00D87EBE" w:rsidP="00FB0C4B" w:rsidRDefault="00D87EBE" w14:paraId="4644F5CB" w14:textId="77777777">
      <w:pPr>
        <w:pStyle w:val="Default"/>
        <w:jc w:val="both"/>
      </w:pPr>
      <w:r w:rsidRPr="00532434">
        <w:t xml:space="preserve">Appeals against a reduction in capacity imposed by way of an amendment to a safety certificate or against a prohibition notice are to a Magistrates Court. Where an appeal is made against an amendment to a safety certificate the amendment cannot take effect until the appeal is heard. </w:t>
      </w:r>
    </w:p>
    <w:p w:rsidRPr="00532434" w:rsidR="00D87EBE" w:rsidP="00FB0C4B" w:rsidRDefault="00D87EBE" w14:paraId="5E965618" w14:textId="77777777">
      <w:pPr>
        <w:pStyle w:val="Default"/>
        <w:jc w:val="both"/>
      </w:pPr>
    </w:p>
    <w:p w:rsidRPr="00532434" w:rsidR="00D87EBE" w:rsidP="00FB0C4B" w:rsidRDefault="00D87EBE" w14:paraId="4871BF65" w14:textId="77777777">
      <w:pPr>
        <w:pStyle w:val="Default"/>
        <w:jc w:val="both"/>
      </w:pPr>
      <w:r w:rsidRPr="00532434">
        <w:t>However, in the case of an appeal against a prohibition notice any reduction in capacity remains in place until the appeal is heard.</w:t>
      </w:r>
    </w:p>
    <w:p w:rsidRPr="00532434" w:rsidR="00D87EBE" w:rsidP="00FB0C4B" w:rsidRDefault="00D87EBE" w14:paraId="4EC85604" w14:textId="77777777">
      <w:pPr>
        <w:pStyle w:val="Default"/>
        <w:jc w:val="both"/>
      </w:pPr>
    </w:p>
    <w:p w:rsidRPr="00532434" w:rsidR="00D87EBE" w:rsidP="00FB0C4B" w:rsidRDefault="00D87EBE" w14:paraId="7698A680" w14:textId="77777777">
      <w:pPr>
        <w:pStyle w:val="Default"/>
        <w:numPr>
          <w:ilvl w:val="0"/>
          <w:numId w:val="37"/>
        </w:numPr>
        <w:jc w:val="both"/>
        <w:rPr>
          <w:b/>
        </w:rPr>
      </w:pPr>
      <w:r w:rsidRPr="00532434">
        <w:rPr>
          <w:b/>
        </w:rPr>
        <w:t>Penalties</w:t>
      </w:r>
    </w:p>
    <w:p w:rsidRPr="00532434" w:rsidR="00D87EBE" w:rsidP="00FB0C4B" w:rsidRDefault="00D87EBE" w14:paraId="59386E8A" w14:textId="77777777">
      <w:pPr>
        <w:pStyle w:val="Default"/>
        <w:jc w:val="both"/>
        <w:rPr>
          <w:b/>
        </w:rPr>
      </w:pPr>
    </w:p>
    <w:p w:rsidRPr="00532434" w:rsidR="00D87EBE" w:rsidP="00FB0C4B" w:rsidRDefault="00D87EBE" w14:paraId="64F58FA7" w14:textId="77777777">
      <w:pPr>
        <w:pStyle w:val="Default"/>
        <w:jc w:val="both"/>
      </w:pPr>
      <w:r w:rsidRPr="00532434">
        <w:t xml:space="preserve">It is an offence for any responsible person, not merely the certificate holder, to contravene the terms and conditions of a safety certificate or a prohibition notice. </w:t>
      </w:r>
    </w:p>
    <w:p w:rsidRPr="00532434" w:rsidR="00D87EBE" w:rsidP="00FB0C4B" w:rsidRDefault="00D87EBE" w14:paraId="3B94EC9C" w14:textId="77777777">
      <w:pPr>
        <w:pStyle w:val="Default"/>
        <w:jc w:val="both"/>
      </w:pPr>
    </w:p>
    <w:p w:rsidRPr="00532434" w:rsidR="00D87EBE" w:rsidP="00BD2A8D" w:rsidRDefault="00D87EBE" w14:paraId="0255E112" w14:textId="5A2B9291">
      <w:pPr>
        <w:pStyle w:val="Default"/>
        <w:jc w:val="both"/>
      </w:pPr>
      <w:r w:rsidRPr="00532434">
        <w:t>These offences and associated penalties, along with the defences of absence of consent and due diligence, are listed in section 12 of the Safety of Sports Grounds Act 1975 and section 36 of the Fire Safety and Safety of Places of Sport Act 1987.</w:t>
      </w:r>
    </w:p>
    <w:sectPr w:rsidRPr="00532434" w:rsidR="00D87EBE">
      <w:footerReference w:type="default" r:id="rId16"/>
      <w:pgSz w:w="11906" w:h="16838"/>
      <w:pgMar w:top="851" w:right="1797" w:bottom="851" w:left="1701"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21C1" w14:textId="77777777" w:rsidR="001031EE" w:rsidRDefault="001031EE">
      <w:r>
        <w:separator/>
      </w:r>
    </w:p>
  </w:endnote>
  <w:endnote w:type="continuationSeparator" w:id="0">
    <w:p w14:paraId="0E1A91C5" w14:textId="77777777" w:rsidR="001031EE" w:rsidRDefault="001031EE">
      <w:r>
        <w:continuationSeparator/>
      </w:r>
    </w:p>
  </w:endnote>
  <w:endnote w:type="continuationNotice" w:id="1">
    <w:p w14:paraId="17942E45" w14:textId="77777777" w:rsidR="007771A4" w:rsidRDefault="00777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863435"/>
      <w:docPartObj>
        <w:docPartGallery w:val="Page Numbers (Bottom of Page)"/>
        <w:docPartUnique/>
      </w:docPartObj>
    </w:sdtPr>
    <w:sdtEndPr>
      <w:rPr>
        <w:noProof/>
      </w:rPr>
    </w:sdtEndPr>
    <w:sdtContent>
      <w:p w14:paraId="108E4089" w14:textId="298A752E" w:rsidR="00532434" w:rsidRDefault="005324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F84E8C" w14:textId="77777777" w:rsidR="00532434" w:rsidRDefault="0053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2830" w14:textId="77777777" w:rsidR="001031EE" w:rsidRDefault="001031EE">
      <w:r>
        <w:separator/>
      </w:r>
    </w:p>
  </w:footnote>
  <w:footnote w:type="continuationSeparator" w:id="0">
    <w:p w14:paraId="4A603DE3" w14:textId="77777777" w:rsidR="001031EE" w:rsidRDefault="001031EE">
      <w:r>
        <w:continuationSeparator/>
      </w:r>
    </w:p>
  </w:footnote>
  <w:footnote w:type="continuationNotice" w:id="1">
    <w:p w14:paraId="16027B11" w14:textId="77777777" w:rsidR="007771A4" w:rsidRDefault="007771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D6AD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C836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F485A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CCCE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02AD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CE5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CADA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60A3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4E55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4ED4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F503E"/>
    <w:multiLevelType w:val="hybridMultilevel"/>
    <w:tmpl w:val="4AD2C6F8"/>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3F46295"/>
    <w:multiLevelType w:val="multilevel"/>
    <w:tmpl w:val="6922D41C"/>
    <w:lvl w:ilvl="0">
      <w:start w:val="1"/>
      <w:numFmt w:val="bullet"/>
      <w:lvlText w:val=""/>
      <w:lvlJc w:val="left"/>
      <w:pPr>
        <w:tabs>
          <w:tab w:val="num" w:pos="360"/>
        </w:tabs>
        <w:ind w:left="360" w:hanging="360"/>
      </w:pPr>
      <w:rPr>
        <w:rFonts w:ascii="Wingdings" w:hAnsi="Wingdings" w:hint="default"/>
        <w:b/>
        <w:i w:val="0"/>
      </w:rPr>
    </w:lvl>
    <w:lvl w:ilvl="1">
      <w:start w:val="1"/>
      <w:numFmt w:val="decimal"/>
      <w:lvlText w:val="%1.%2."/>
      <w:lvlJc w:val="left"/>
      <w:pPr>
        <w:tabs>
          <w:tab w:val="num" w:pos="1152"/>
        </w:tabs>
        <w:ind w:left="1152" w:hanging="1152"/>
      </w:pPr>
      <w:rPr>
        <w:b/>
        <w:i w:val="0"/>
      </w:rPr>
    </w:lvl>
    <w:lvl w:ilvl="2">
      <w:start w:val="1"/>
      <w:numFmt w:val="decimal"/>
      <w:lvlText w:val="%1.%2.%3."/>
      <w:lvlJc w:val="left"/>
      <w:pPr>
        <w:tabs>
          <w:tab w:val="num" w:pos="1440"/>
        </w:tabs>
        <w:ind w:left="1440" w:hanging="1440"/>
      </w:pPr>
      <w:rPr>
        <w:b/>
        <w:i w:val="0"/>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8D04AD1"/>
    <w:multiLevelType w:val="multilevel"/>
    <w:tmpl w:val="0592019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FF60B0"/>
    <w:multiLevelType w:val="hybridMultilevel"/>
    <w:tmpl w:val="04EC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4C1CF"/>
    <w:multiLevelType w:val="hybridMultilevel"/>
    <w:tmpl w:val="FFFFFFFF"/>
    <w:lvl w:ilvl="0" w:tplc="16424A4C">
      <w:numFmt w:val="none"/>
      <w:lvlText w:val=""/>
      <w:lvlJc w:val="left"/>
      <w:pPr>
        <w:tabs>
          <w:tab w:val="num" w:pos="360"/>
        </w:tabs>
      </w:pPr>
    </w:lvl>
    <w:lvl w:ilvl="1" w:tplc="C61235EE">
      <w:start w:val="1"/>
      <w:numFmt w:val="lowerLetter"/>
      <w:lvlText w:val="%2."/>
      <w:lvlJc w:val="left"/>
      <w:pPr>
        <w:ind w:left="1440" w:hanging="360"/>
      </w:pPr>
    </w:lvl>
    <w:lvl w:ilvl="2" w:tplc="73B66D68">
      <w:start w:val="1"/>
      <w:numFmt w:val="lowerRoman"/>
      <w:lvlText w:val="%3."/>
      <w:lvlJc w:val="right"/>
      <w:pPr>
        <w:ind w:left="2160" w:hanging="180"/>
      </w:pPr>
    </w:lvl>
    <w:lvl w:ilvl="3" w:tplc="C0C86EEE">
      <w:start w:val="1"/>
      <w:numFmt w:val="decimal"/>
      <w:lvlText w:val="%4."/>
      <w:lvlJc w:val="left"/>
      <w:pPr>
        <w:ind w:left="2880" w:hanging="360"/>
      </w:pPr>
    </w:lvl>
    <w:lvl w:ilvl="4" w:tplc="211A3F6E">
      <w:start w:val="1"/>
      <w:numFmt w:val="lowerLetter"/>
      <w:lvlText w:val="%5."/>
      <w:lvlJc w:val="left"/>
      <w:pPr>
        <w:ind w:left="3600" w:hanging="360"/>
      </w:pPr>
    </w:lvl>
    <w:lvl w:ilvl="5" w:tplc="D978906A">
      <w:start w:val="1"/>
      <w:numFmt w:val="lowerRoman"/>
      <w:lvlText w:val="%6."/>
      <w:lvlJc w:val="right"/>
      <w:pPr>
        <w:ind w:left="4320" w:hanging="180"/>
      </w:pPr>
    </w:lvl>
    <w:lvl w:ilvl="6" w:tplc="CE3C6860">
      <w:start w:val="1"/>
      <w:numFmt w:val="decimal"/>
      <w:lvlText w:val="%7."/>
      <w:lvlJc w:val="left"/>
      <w:pPr>
        <w:ind w:left="5040" w:hanging="360"/>
      </w:pPr>
    </w:lvl>
    <w:lvl w:ilvl="7" w:tplc="ACF4A7CC">
      <w:start w:val="1"/>
      <w:numFmt w:val="lowerLetter"/>
      <w:lvlText w:val="%8."/>
      <w:lvlJc w:val="left"/>
      <w:pPr>
        <w:ind w:left="5760" w:hanging="360"/>
      </w:pPr>
    </w:lvl>
    <w:lvl w:ilvl="8" w:tplc="C29C935C">
      <w:start w:val="1"/>
      <w:numFmt w:val="lowerRoman"/>
      <w:lvlText w:val="%9."/>
      <w:lvlJc w:val="right"/>
      <w:pPr>
        <w:ind w:left="6480" w:hanging="180"/>
      </w:pPr>
    </w:lvl>
  </w:abstractNum>
  <w:abstractNum w:abstractNumId="15" w15:restartNumberingAfterBreak="0">
    <w:nsid w:val="1EBC4FAA"/>
    <w:multiLevelType w:val="multilevel"/>
    <w:tmpl w:val="0B2A9A6C"/>
    <w:lvl w:ilvl="0">
      <w:start w:val="1"/>
      <w:numFmt w:val="bullet"/>
      <w:lvlText w:val=""/>
      <w:lvlJc w:val="left"/>
      <w:pPr>
        <w:tabs>
          <w:tab w:val="num" w:pos="360"/>
        </w:tabs>
        <w:ind w:left="360" w:hanging="360"/>
      </w:pPr>
      <w:rPr>
        <w:rFonts w:ascii="Wingdings" w:hAnsi="Wingdings" w:hint="default"/>
        <w:b/>
        <w:i w:val="0"/>
      </w:rPr>
    </w:lvl>
    <w:lvl w:ilvl="1">
      <w:start w:val="1"/>
      <w:numFmt w:val="decimal"/>
      <w:lvlText w:val="%1.%2."/>
      <w:lvlJc w:val="left"/>
      <w:pPr>
        <w:tabs>
          <w:tab w:val="num" w:pos="1152"/>
        </w:tabs>
        <w:ind w:left="1152" w:hanging="1152"/>
      </w:pPr>
      <w:rPr>
        <w:b/>
        <w:i w:val="0"/>
      </w:rPr>
    </w:lvl>
    <w:lvl w:ilvl="2">
      <w:start w:val="1"/>
      <w:numFmt w:val="decimal"/>
      <w:lvlText w:val="%1.%2.%3."/>
      <w:lvlJc w:val="left"/>
      <w:pPr>
        <w:tabs>
          <w:tab w:val="num" w:pos="1440"/>
        </w:tabs>
        <w:ind w:left="1440" w:hanging="1440"/>
      </w:pPr>
      <w:rPr>
        <w:b/>
        <w:i w:val="0"/>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52F3EA4"/>
    <w:multiLevelType w:val="hybridMultilevel"/>
    <w:tmpl w:val="CA3C0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33E8A"/>
    <w:multiLevelType w:val="multilevel"/>
    <w:tmpl w:val="05CA7CDA"/>
    <w:lvl w:ilvl="0">
      <w:start w:val="1"/>
      <w:numFmt w:val="bullet"/>
      <w:lvlText w:val=""/>
      <w:lvlJc w:val="left"/>
      <w:pPr>
        <w:tabs>
          <w:tab w:val="num" w:pos="2520"/>
        </w:tabs>
        <w:ind w:left="2520" w:hanging="360"/>
      </w:pPr>
      <w:rPr>
        <w:rFonts w:ascii="Wingdings" w:hAnsi="Wingdings" w:hint="default"/>
        <w:b/>
        <w:i w:val="0"/>
      </w:rPr>
    </w:lvl>
    <w:lvl w:ilvl="1">
      <w:start w:val="1"/>
      <w:numFmt w:val="decimal"/>
      <w:lvlText w:val="%1.%2."/>
      <w:lvlJc w:val="left"/>
      <w:pPr>
        <w:tabs>
          <w:tab w:val="num" w:pos="3312"/>
        </w:tabs>
        <w:ind w:left="3312" w:hanging="1152"/>
      </w:pPr>
      <w:rPr>
        <w:b/>
        <w:i w:val="0"/>
      </w:rPr>
    </w:lvl>
    <w:lvl w:ilvl="2">
      <w:start w:val="1"/>
      <w:numFmt w:val="decimal"/>
      <w:lvlText w:val="%1.%2.%3."/>
      <w:lvlJc w:val="left"/>
      <w:pPr>
        <w:tabs>
          <w:tab w:val="num" w:pos="3600"/>
        </w:tabs>
        <w:ind w:left="3600" w:hanging="1440"/>
      </w:pPr>
      <w:rPr>
        <w:b/>
        <w:i w:val="0"/>
      </w:rPr>
    </w:lvl>
    <w:lvl w:ilvl="3">
      <w:start w:val="1"/>
      <w:numFmt w:val="decimal"/>
      <w:lvlText w:val="%1.%2.%3.%4."/>
      <w:lvlJc w:val="left"/>
      <w:pPr>
        <w:tabs>
          <w:tab w:val="num" w:pos="4320"/>
        </w:tabs>
        <w:ind w:left="4320" w:hanging="1080"/>
      </w:pPr>
    </w:lvl>
    <w:lvl w:ilvl="4">
      <w:start w:val="1"/>
      <w:numFmt w:val="decimal"/>
      <w:lvlText w:val="%1.%2.%3.%4.%5."/>
      <w:lvlJc w:val="left"/>
      <w:pPr>
        <w:tabs>
          <w:tab w:val="num" w:pos="4680"/>
        </w:tabs>
        <w:ind w:left="4392" w:hanging="792"/>
      </w:pPr>
    </w:lvl>
    <w:lvl w:ilvl="5">
      <w:start w:val="1"/>
      <w:numFmt w:val="decimal"/>
      <w:lvlText w:val="%1.%2.%3.%4.%5.%6."/>
      <w:lvlJc w:val="left"/>
      <w:pPr>
        <w:tabs>
          <w:tab w:val="num" w:pos="5400"/>
        </w:tabs>
        <w:ind w:left="4896" w:hanging="936"/>
      </w:pPr>
    </w:lvl>
    <w:lvl w:ilvl="6">
      <w:start w:val="1"/>
      <w:numFmt w:val="decimal"/>
      <w:lvlText w:val="%1.%2.%3.%4.%5.%6.%7."/>
      <w:lvlJc w:val="left"/>
      <w:pPr>
        <w:tabs>
          <w:tab w:val="num" w:pos="5760"/>
        </w:tabs>
        <w:ind w:left="5400" w:hanging="1080"/>
      </w:pPr>
    </w:lvl>
    <w:lvl w:ilvl="7">
      <w:start w:val="1"/>
      <w:numFmt w:val="decimal"/>
      <w:lvlText w:val="%1.%2.%3.%4.%5.%6.%7.%8."/>
      <w:lvlJc w:val="left"/>
      <w:pPr>
        <w:tabs>
          <w:tab w:val="num" w:pos="6480"/>
        </w:tabs>
        <w:ind w:left="5904" w:hanging="1224"/>
      </w:pPr>
    </w:lvl>
    <w:lvl w:ilvl="8">
      <w:start w:val="1"/>
      <w:numFmt w:val="decimal"/>
      <w:lvlText w:val="%1.%2.%3.%4.%5.%6.%7.%8.%9."/>
      <w:lvlJc w:val="left"/>
      <w:pPr>
        <w:tabs>
          <w:tab w:val="num" w:pos="7200"/>
        </w:tabs>
        <w:ind w:left="6480" w:hanging="1440"/>
      </w:pPr>
    </w:lvl>
  </w:abstractNum>
  <w:abstractNum w:abstractNumId="18" w15:restartNumberingAfterBreak="0">
    <w:nsid w:val="25AB3881"/>
    <w:multiLevelType w:val="hybridMultilevel"/>
    <w:tmpl w:val="E79CEEC6"/>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5E91586"/>
    <w:multiLevelType w:val="multilevel"/>
    <w:tmpl w:val="AF1AF1B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28E46686"/>
    <w:multiLevelType w:val="hybridMultilevel"/>
    <w:tmpl w:val="E20EE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AED124A"/>
    <w:multiLevelType w:val="hybridMultilevel"/>
    <w:tmpl w:val="AE244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D4208B3"/>
    <w:multiLevelType w:val="multilevel"/>
    <w:tmpl w:val="D0780FE4"/>
    <w:lvl w:ilvl="0">
      <w:start w:val="1"/>
      <w:numFmt w:val="bullet"/>
      <w:lvlText w:val=""/>
      <w:lvlJc w:val="left"/>
      <w:pPr>
        <w:tabs>
          <w:tab w:val="num" w:pos="2520"/>
        </w:tabs>
        <w:ind w:left="2520" w:hanging="360"/>
      </w:pPr>
      <w:rPr>
        <w:rFonts w:ascii="Wingdings" w:hAnsi="Wingdings" w:hint="default"/>
        <w:b/>
        <w:i w:val="0"/>
      </w:rPr>
    </w:lvl>
    <w:lvl w:ilvl="1">
      <w:start w:val="1"/>
      <w:numFmt w:val="decimal"/>
      <w:lvlText w:val="%1.%2."/>
      <w:lvlJc w:val="left"/>
      <w:pPr>
        <w:tabs>
          <w:tab w:val="num" w:pos="3312"/>
        </w:tabs>
        <w:ind w:left="3312" w:hanging="1152"/>
      </w:pPr>
      <w:rPr>
        <w:b/>
        <w:i w:val="0"/>
      </w:rPr>
    </w:lvl>
    <w:lvl w:ilvl="2">
      <w:start w:val="1"/>
      <w:numFmt w:val="decimal"/>
      <w:lvlText w:val="%1.%2.%3."/>
      <w:lvlJc w:val="left"/>
      <w:pPr>
        <w:tabs>
          <w:tab w:val="num" w:pos="3600"/>
        </w:tabs>
        <w:ind w:left="3600" w:hanging="1440"/>
      </w:pPr>
      <w:rPr>
        <w:b/>
        <w:i w:val="0"/>
      </w:rPr>
    </w:lvl>
    <w:lvl w:ilvl="3">
      <w:start w:val="1"/>
      <w:numFmt w:val="decimal"/>
      <w:lvlText w:val="%1.%2.%3.%4."/>
      <w:lvlJc w:val="left"/>
      <w:pPr>
        <w:tabs>
          <w:tab w:val="num" w:pos="4320"/>
        </w:tabs>
        <w:ind w:left="4320" w:hanging="1080"/>
      </w:pPr>
    </w:lvl>
    <w:lvl w:ilvl="4">
      <w:start w:val="1"/>
      <w:numFmt w:val="decimal"/>
      <w:lvlText w:val="%1.%2.%3.%4.%5."/>
      <w:lvlJc w:val="left"/>
      <w:pPr>
        <w:tabs>
          <w:tab w:val="num" w:pos="4680"/>
        </w:tabs>
        <w:ind w:left="4392" w:hanging="792"/>
      </w:pPr>
    </w:lvl>
    <w:lvl w:ilvl="5">
      <w:start w:val="1"/>
      <w:numFmt w:val="decimal"/>
      <w:lvlText w:val="%1.%2.%3.%4.%5.%6."/>
      <w:lvlJc w:val="left"/>
      <w:pPr>
        <w:tabs>
          <w:tab w:val="num" w:pos="5400"/>
        </w:tabs>
        <w:ind w:left="4896" w:hanging="936"/>
      </w:pPr>
    </w:lvl>
    <w:lvl w:ilvl="6">
      <w:start w:val="1"/>
      <w:numFmt w:val="decimal"/>
      <w:lvlText w:val="%1.%2.%3.%4.%5.%6.%7."/>
      <w:lvlJc w:val="left"/>
      <w:pPr>
        <w:tabs>
          <w:tab w:val="num" w:pos="5760"/>
        </w:tabs>
        <w:ind w:left="5400" w:hanging="1080"/>
      </w:pPr>
    </w:lvl>
    <w:lvl w:ilvl="7">
      <w:start w:val="1"/>
      <w:numFmt w:val="decimal"/>
      <w:lvlText w:val="%1.%2.%3.%4.%5.%6.%7.%8."/>
      <w:lvlJc w:val="left"/>
      <w:pPr>
        <w:tabs>
          <w:tab w:val="num" w:pos="6480"/>
        </w:tabs>
        <w:ind w:left="5904" w:hanging="1224"/>
      </w:pPr>
    </w:lvl>
    <w:lvl w:ilvl="8">
      <w:start w:val="1"/>
      <w:numFmt w:val="decimal"/>
      <w:lvlText w:val="%1.%2.%3.%4.%5.%6.%7.%8.%9."/>
      <w:lvlJc w:val="left"/>
      <w:pPr>
        <w:tabs>
          <w:tab w:val="num" w:pos="7200"/>
        </w:tabs>
        <w:ind w:left="6480" w:hanging="1440"/>
      </w:pPr>
    </w:lvl>
  </w:abstractNum>
  <w:abstractNum w:abstractNumId="23" w15:restartNumberingAfterBreak="0">
    <w:nsid w:val="3EB57463"/>
    <w:multiLevelType w:val="multilevel"/>
    <w:tmpl w:val="B29C8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4F5BE2"/>
    <w:multiLevelType w:val="hybridMultilevel"/>
    <w:tmpl w:val="91447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4680804"/>
    <w:multiLevelType w:val="hybridMultilevel"/>
    <w:tmpl w:val="0F42D80E"/>
    <w:lvl w:ilvl="0" w:tplc="E1EEF5E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1324E"/>
    <w:multiLevelType w:val="multilevel"/>
    <w:tmpl w:val="1B0E6A08"/>
    <w:lvl w:ilvl="0">
      <w:start w:val="1"/>
      <w:numFmt w:val="bullet"/>
      <w:lvlText w:val=""/>
      <w:lvlJc w:val="left"/>
      <w:pPr>
        <w:tabs>
          <w:tab w:val="num" w:pos="360"/>
        </w:tabs>
        <w:ind w:left="360" w:hanging="360"/>
      </w:pPr>
      <w:rPr>
        <w:rFonts w:ascii="Wingdings" w:hAnsi="Wingdings" w:hint="default"/>
        <w:b/>
        <w:i w:val="0"/>
      </w:rPr>
    </w:lvl>
    <w:lvl w:ilvl="1">
      <w:start w:val="1"/>
      <w:numFmt w:val="decimal"/>
      <w:lvlText w:val="%1.%2."/>
      <w:lvlJc w:val="left"/>
      <w:pPr>
        <w:tabs>
          <w:tab w:val="num" w:pos="1152"/>
        </w:tabs>
        <w:ind w:left="1152" w:hanging="1152"/>
      </w:pPr>
      <w:rPr>
        <w:b/>
        <w:i w:val="0"/>
      </w:rPr>
    </w:lvl>
    <w:lvl w:ilvl="2">
      <w:start w:val="1"/>
      <w:numFmt w:val="decimal"/>
      <w:lvlText w:val="%1.%2.%3."/>
      <w:lvlJc w:val="left"/>
      <w:pPr>
        <w:tabs>
          <w:tab w:val="num" w:pos="1440"/>
        </w:tabs>
        <w:ind w:left="1440" w:hanging="1440"/>
      </w:pPr>
      <w:rPr>
        <w:b/>
        <w:i w:val="0"/>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C157791"/>
    <w:multiLevelType w:val="hybridMultilevel"/>
    <w:tmpl w:val="A090356A"/>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D77312"/>
    <w:multiLevelType w:val="hybridMultilevel"/>
    <w:tmpl w:val="9BC8D99A"/>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80F72F0"/>
    <w:multiLevelType w:val="hybridMultilevel"/>
    <w:tmpl w:val="78D4D912"/>
    <w:lvl w:ilvl="0" w:tplc="69AC6C9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301BF4"/>
    <w:multiLevelType w:val="hybridMultilevel"/>
    <w:tmpl w:val="14DCBC02"/>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F62AB6"/>
    <w:multiLevelType w:val="hybridMultilevel"/>
    <w:tmpl w:val="CF962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E97791"/>
    <w:multiLevelType w:val="hybridMultilevel"/>
    <w:tmpl w:val="994A46B2"/>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2E3598"/>
    <w:multiLevelType w:val="multilevel"/>
    <w:tmpl w:val="9C480740"/>
    <w:lvl w:ilvl="0">
      <w:start w:val="1"/>
      <w:numFmt w:val="decimal"/>
      <w:lvlText w:val="%1."/>
      <w:lvlJc w:val="left"/>
      <w:pPr>
        <w:tabs>
          <w:tab w:val="num" w:pos="720"/>
        </w:tabs>
        <w:ind w:left="720" w:hanging="720"/>
      </w:pPr>
      <w:rPr>
        <w:rFonts w:hint="default"/>
        <w:color w:val="000000"/>
        <w:sz w:val="32"/>
        <w:szCs w:val="32"/>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78C3F90"/>
    <w:multiLevelType w:val="hybridMultilevel"/>
    <w:tmpl w:val="545E0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2A2D2A"/>
    <w:multiLevelType w:val="multilevel"/>
    <w:tmpl w:val="8B1C245E"/>
    <w:lvl w:ilvl="0">
      <w:start w:val="1"/>
      <w:numFmt w:val="decimal"/>
      <w:lvlText w:val="%1."/>
      <w:lvlJc w:val="left"/>
      <w:pPr>
        <w:tabs>
          <w:tab w:val="num" w:pos="720"/>
        </w:tabs>
        <w:ind w:left="720" w:hanging="720"/>
      </w:pPr>
      <w:rPr>
        <w:b/>
        <w:i w:val="0"/>
      </w:rPr>
    </w:lvl>
    <w:lvl w:ilvl="1">
      <w:start w:val="1"/>
      <w:numFmt w:val="decimal"/>
      <w:lvlText w:val="%1.%2."/>
      <w:lvlJc w:val="left"/>
      <w:pPr>
        <w:tabs>
          <w:tab w:val="num" w:pos="1152"/>
        </w:tabs>
        <w:ind w:left="1152" w:hanging="1152"/>
      </w:pPr>
      <w:rPr>
        <w:b/>
        <w:i w:val="0"/>
      </w:rPr>
    </w:lvl>
    <w:lvl w:ilvl="2">
      <w:start w:val="1"/>
      <w:numFmt w:val="decimal"/>
      <w:lvlText w:val="%1.%2.%3."/>
      <w:lvlJc w:val="left"/>
      <w:pPr>
        <w:tabs>
          <w:tab w:val="num" w:pos="1440"/>
        </w:tabs>
        <w:ind w:left="1440" w:hanging="1440"/>
      </w:pPr>
      <w:rPr>
        <w:b/>
        <w:i w:val="0"/>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74AC3428"/>
    <w:multiLevelType w:val="multilevel"/>
    <w:tmpl w:val="26501EF6"/>
    <w:lvl w:ilvl="0">
      <w:start w:val="4"/>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B31BD9"/>
    <w:multiLevelType w:val="multilevel"/>
    <w:tmpl w:val="CF3A69EA"/>
    <w:lvl w:ilvl="0">
      <w:start w:val="1"/>
      <w:numFmt w:val="bullet"/>
      <w:lvlText w:val=""/>
      <w:lvlJc w:val="left"/>
      <w:pPr>
        <w:tabs>
          <w:tab w:val="num" w:pos="714"/>
        </w:tabs>
        <w:ind w:left="714" w:hanging="357"/>
      </w:pPr>
      <w:rPr>
        <w:rFonts w:ascii="Symbol" w:hAnsi="Symbol"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79"/>
        </w:tabs>
        <w:ind w:left="379" w:hanging="360"/>
      </w:pPr>
      <w:rPr>
        <w:rFonts w:ascii="Courier New" w:hAnsi="Courier New" w:cs="Courier New" w:hint="default"/>
      </w:rPr>
    </w:lvl>
    <w:lvl w:ilvl="2">
      <w:start w:val="1"/>
      <w:numFmt w:val="bullet"/>
      <w:lvlText w:val=""/>
      <w:lvlJc w:val="left"/>
      <w:pPr>
        <w:tabs>
          <w:tab w:val="num" w:pos="430"/>
        </w:tabs>
        <w:ind w:left="430" w:hanging="357"/>
      </w:pPr>
      <w:rPr>
        <w:rFonts w:ascii="Wingdings" w:hAnsi="Wingdings" w:hint="default"/>
      </w:rPr>
    </w:lvl>
    <w:lvl w:ilvl="3">
      <w:start w:val="1"/>
      <w:numFmt w:val="bullet"/>
      <w:lvlText w:val=""/>
      <w:lvlJc w:val="left"/>
      <w:pPr>
        <w:tabs>
          <w:tab w:val="num" w:pos="1819"/>
        </w:tabs>
        <w:ind w:left="1819" w:hanging="360"/>
      </w:pPr>
      <w:rPr>
        <w:rFonts w:ascii="Symbol" w:hAnsi="Symbol" w:hint="default"/>
      </w:rPr>
    </w:lvl>
    <w:lvl w:ilvl="4">
      <w:start w:val="1"/>
      <w:numFmt w:val="bullet"/>
      <w:lvlText w:val="o"/>
      <w:lvlJc w:val="left"/>
      <w:pPr>
        <w:tabs>
          <w:tab w:val="num" w:pos="2539"/>
        </w:tabs>
        <w:ind w:left="2539" w:hanging="360"/>
      </w:pPr>
      <w:rPr>
        <w:rFonts w:ascii="Courier New" w:hAnsi="Courier New" w:cs="Courier New" w:hint="default"/>
      </w:rPr>
    </w:lvl>
    <w:lvl w:ilvl="5">
      <w:start w:val="1"/>
      <w:numFmt w:val="bullet"/>
      <w:lvlText w:val=""/>
      <w:lvlJc w:val="left"/>
      <w:pPr>
        <w:tabs>
          <w:tab w:val="num" w:pos="3259"/>
        </w:tabs>
        <w:ind w:left="3259" w:hanging="360"/>
      </w:pPr>
      <w:rPr>
        <w:rFonts w:ascii="Wingdings" w:hAnsi="Wingdings" w:hint="default"/>
      </w:rPr>
    </w:lvl>
    <w:lvl w:ilvl="6">
      <w:start w:val="1"/>
      <w:numFmt w:val="bullet"/>
      <w:lvlText w:val=""/>
      <w:lvlJc w:val="left"/>
      <w:pPr>
        <w:tabs>
          <w:tab w:val="num" w:pos="3979"/>
        </w:tabs>
        <w:ind w:left="3979" w:hanging="360"/>
      </w:pPr>
      <w:rPr>
        <w:rFonts w:ascii="Symbol" w:hAnsi="Symbol" w:hint="default"/>
      </w:rPr>
    </w:lvl>
    <w:lvl w:ilvl="7">
      <w:start w:val="1"/>
      <w:numFmt w:val="bullet"/>
      <w:lvlText w:val="o"/>
      <w:lvlJc w:val="left"/>
      <w:pPr>
        <w:tabs>
          <w:tab w:val="num" w:pos="4699"/>
        </w:tabs>
        <w:ind w:left="4699" w:hanging="360"/>
      </w:pPr>
      <w:rPr>
        <w:rFonts w:ascii="Courier New" w:hAnsi="Courier New" w:cs="Courier New" w:hint="default"/>
      </w:rPr>
    </w:lvl>
    <w:lvl w:ilvl="8">
      <w:start w:val="1"/>
      <w:numFmt w:val="bullet"/>
      <w:lvlText w:val=""/>
      <w:lvlJc w:val="left"/>
      <w:pPr>
        <w:tabs>
          <w:tab w:val="num" w:pos="5419"/>
        </w:tabs>
        <w:ind w:left="5419" w:hanging="360"/>
      </w:pPr>
      <w:rPr>
        <w:rFonts w:ascii="Wingdings" w:hAnsi="Wingdings" w:hint="default"/>
      </w:rPr>
    </w:lvl>
  </w:abstractNum>
  <w:abstractNum w:abstractNumId="38" w15:restartNumberingAfterBreak="0">
    <w:nsid w:val="76AA21A7"/>
    <w:multiLevelType w:val="multilevel"/>
    <w:tmpl w:val="9C340A9A"/>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9" w15:restartNumberingAfterBreak="0">
    <w:nsid w:val="76C52328"/>
    <w:multiLevelType w:val="multilevel"/>
    <w:tmpl w:val="DB803DB4"/>
    <w:lvl w:ilvl="0">
      <w:start w:val="1"/>
      <w:numFmt w:val="bullet"/>
      <w:lvlText w:val=""/>
      <w:lvlJc w:val="left"/>
      <w:pPr>
        <w:tabs>
          <w:tab w:val="num" w:pos="2520"/>
        </w:tabs>
        <w:ind w:left="2520" w:hanging="360"/>
      </w:pPr>
      <w:rPr>
        <w:rFonts w:ascii="Wingdings" w:hAnsi="Wingdings" w:hint="default"/>
        <w:b/>
        <w:i w:val="0"/>
      </w:rPr>
    </w:lvl>
    <w:lvl w:ilvl="1">
      <w:start w:val="1"/>
      <w:numFmt w:val="decimal"/>
      <w:lvlText w:val="%1.%2."/>
      <w:lvlJc w:val="left"/>
      <w:pPr>
        <w:tabs>
          <w:tab w:val="num" w:pos="3312"/>
        </w:tabs>
        <w:ind w:left="3312" w:hanging="1152"/>
      </w:pPr>
      <w:rPr>
        <w:b/>
        <w:i w:val="0"/>
      </w:rPr>
    </w:lvl>
    <w:lvl w:ilvl="2">
      <w:start w:val="1"/>
      <w:numFmt w:val="decimal"/>
      <w:lvlText w:val="%1.%2.%3."/>
      <w:lvlJc w:val="left"/>
      <w:pPr>
        <w:tabs>
          <w:tab w:val="num" w:pos="3600"/>
        </w:tabs>
        <w:ind w:left="3600" w:hanging="1440"/>
      </w:pPr>
      <w:rPr>
        <w:b/>
        <w:i w:val="0"/>
      </w:rPr>
    </w:lvl>
    <w:lvl w:ilvl="3">
      <w:start w:val="1"/>
      <w:numFmt w:val="decimal"/>
      <w:lvlText w:val="%1.%2.%3.%4."/>
      <w:lvlJc w:val="left"/>
      <w:pPr>
        <w:tabs>
          <w:tab w:val="num" w:pos="4320"/>
        </w:tabs>
        <w:ind w:left="4320" w:hanging="1080"/>
      </w:pPr>
    </w:lvl>
    <w:lvl w:ilvl="4">
      <w:start w:val="1"/>
      <w:numFmt w:val="decimal"/>
      <w:lvlText w:val="%1.%2.%3.%4.%5."/>
      <w:lvlJc w:val="left"/>
      <w:pPr>
        <w:tabs>
          <w:tab w:val="num" w:pos="4680"/>
        </w:tabs>
        <w:ind w:left="4392" w:hanging="792"/>
      </w:pPr>
    </w:lvl>
    <w:lvl w:ilvl="5">
      <w:start w:val="1"/>
      <w:numFmt w:val="decimal"/>
      <w:lvlText w:val="%1.%2.%3.%4.%5.%6."/>
      <w:lvlJc w:val="left"/>
      <w:pPr>
        <w:tabs>
          <w:tab w:val="num" w:pos="5400"/>
        </w:tabs>
        <w:ind w:left="4896" w:hanging="936"/>
      </w:pPr>
    </w:lvl>
    <w:lvl w:ilvl="6">
      <w:start w:val="1"/>
      <w:numFmt w:val="decimal"/>
      <w:lvlText w:val="%1.%2.%3.%4.%5.%6.%7."/>
      <w:lvlJc w:val="left"/>
      <w:pPr>
        <w:tabs>
          <w:tab w:val="num" w:pos="5760"/>
        </w:tabs>
        <w:ind w:left="5400" w:hanging="1080"/>
      </w:pPr>
    </w:lvl>
    <w:lvl w:ilvl="7">
      <w:start w:val="1"/>
      <w:numFmt w:val="decimal"/>
      <w:lvlText w:val="%1.%2.%3.%4.%5.%6.%7.%8."/>
      <w:lvlJc w:val="left"/>
      <w:pPr>
        <w:tabs>
          <w:tab w:val="num" w:pos="6480"/>
        </w:tabs>
        <w:ind w:left="5904" w:hanging="1224"/>
      </w:pPr>
    </w:lvl>
    <w:lvl w:ilvl="8">
      <w:start w:val="1"/>
      <w:numFmt w:val="decimal"/>
      <w:lvlText w:val="%1.%2.%3.%4.%5.%6.%7.%8.%9."/>
      <w:lvlJc w:val="left"/>
      <w:pPr>
        <w:tabs>
          <w:tab w:val="num" w:pos="7200"/>
        </w:tabs>
        <w:ind w:left="6480" w:hanging="1440"/>
      </w:pPr>
    </w:lvl>
  </w:abstractNum>
  <w:abstractNum w:abstractNumId="40" w15:restartNumberingAfterBreak="0">
    <w:nsid w:val="78327090"/>
    <w:multiLevelType w:val="hybridMultilevel"/>
    <w:tmpl w:val="1CD69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9B30A6D"/>
    <w:multiLevelType w:val="multilevel"/>
    <w:tmpl w:val="49C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C05AD"/>
    <w:multiLevelType w:val="multilevel"/>
    <w:tmpl w:val="A48052D2"/>
    <w:lvl w:ilvl="0">
      <w:start w:val="4"/>
      <w:numFmt w:val="decimal"/>
      <w:lvlText w:val="%1"/>
      <w:lvlJc w:val="left"/>
      <w:pPr>
        <w:tabs>
          <w:tab w:val="num" w:pos="720"/>
        </w:tabs>
        <w:ind w:left="720" w:hanging="720"/>
      </w:pPr>
      <w:rPr>
        <w:rFonts w:hint="default"/>
        <w:sz w:val="32"/>
        <w:szCs w:val="32"/>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925046"/>
    <w:multiLevelType w:val="hybridMultilevel"/>
    <w:tmpl w:val="45ECCC58"/>
    <w:lvl w:ilvl="0" w:tplc="08090017">
      <w:start w:val="1"/>
      <w:numFmt w:val="lowerLetter"/>
      <w:lvlText w:val="%1)"/>
      <w:lvlJc w:val="left"/>
      <w:pPr>
        <w:ind w:left="720" w:hanging="360"/>
      </w:pPr>
      <w:rPr>
        <w:rFonts w:hint="default"/>
      </w:rPr>
    </w:lvl>
    <w:lvl w:ilvl="1" w:tplc="ED209EC4">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33E5D"/>
    <w:multiLevelType w:val="hybridMultilevel"/>
    <w:tmpl w:val="52C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870173">
    <w:abstractNumId w:val="14"/>
  </w:num>
  <w:num w:numId="2" w16cid:durableId="752824312">
    <w:abstractNumId w:val="28"/>
  </w:num>
  <w:num w:numId="3" w16cid:durableId="1009341">
    <w:abstractNumId w:val="9"/>
  </w:num>
  <w:num w:numId="4" w16cid:durableId="580259631">
    <w:abstractNumId w:val="7"/>
  </w:num>
  <w:num w:numId="5" w16cid:durableId="783311191">
    <w:abstractNumId w:val="6"/>
  </w:num>
  <w:num w:numId="6" w16cid:durableId="1671174493">
    <w:abstractNumId w:val="5"/>
  </w:num>
  <w:num w:numId="7" w16cid:durableId="1709835359">
    <w:abstractNumId w:val="4"/>
  </w:num>
  <w:num w:numId="8" w16cid:durableId="1560941702">
    <w:abstractNumId w:val="8"/>
  </w:num>
  <w:num w:numId="9" w16cid:durableId="361324102">
    <w:abstractNumId w:val="3"/>
  </w:num>
  <w:num w:numId="10" w16cid:durableId="1030454887">
    <w:abstractNumId w:val="2"/>
  </w:num>
  <w:num w:numId="11" w16cid:durableId="1233007238">
    <w:abstractNumId w:val="1"/>
  </w:num>
  <w:num w:numId="12" w16cid:durableId="617227306">
    <w:abstractNumId w:val="0"/>
  </w:num>
  <w:num w:numId="13" w16cid:durableId="388771036">
    <w:abstractNumId w:val="38"/>
  </w:num>
  <w:num w:numId="14" w16cid:durableId="488518182">
    <w:abstractNumId w:val="37"/>
  </w:num>
  <w:num w:numId="15" w16cid:durableId="733356208">
    <w:abstractNumId w:val="43"/>
  </w:num>
  <w:num w:numId="16" w16cid:durableId="1165247331">
    <w:abstractNumId w:val="18"/>
  </w:num>
  <w:num w:numId="17" w16cid:durableId="418452085">
    <w:abstractNumId w:val="32"/>
  </w:num>
  <w:num w:numId="18" w16cid:durableId="311377567">
    <w:abstractNumId w:val="27"/>
  </w:num>
  <w:num w:numId="19" w16cid:durableId="1094476271">
    <w:abstractNumId w:val="10"/>
  </w:num>
  <w:num w:numId="20" w16cid:durableId="1055857473">
    <w:abstractNumId w:val="30"/>
  </w:num>
  <w:num w:numId="21" w16cid:durableId="841428861">
    <w:abstractNumId w:val="33"/>
  </w:num>
  <w:num w:numId="22" w16cid:durableId="154343469">
    <w:abstractNumId w:val="42"/>
  </w:num>
  <w:num w:numId="23" w16cid:durableId="2133087685">
    <w:abstractNumId w:val="36"/>
  </w:num>
  <w:num w:numId="24" w16cid:durableId="570391879">
    <w:abstractNumId w:val="29"/>
  </w:num>
  <w:num w:numId="25" w16cid:durableId="964312228">
    <w:abstractNumId w:val="12"/>
  </w:num>
  <w:num w:numId="26" w16cid:durableId="113510339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919279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1071676">
    <w:abstractNumId w:val="24"/>
  </w:num>
  <w:num w:numId="29" w16cid:durableId="1990283610">
    <w:abstractNumId w:val="23"/>
  </w:num>
  <w:num w:numId="30" w16cid:durableId="1026757032">
    <w:abstractNumId w:val="40"/>
  </w:num>
  <w:num w:numId="31" w16cid:durableId="386757750">
    <w:abstractNumId w:val="34"/>
  </w:num>
  <w:num w:numId="32" w16cid:durableId="1761097310">
    <w:abstractNumId w:val="21"/>
  </w:num>
  <w:num w:numId="33" w16cid:durableId="1224754907">
    <w:abstractNumId w:val="44"/>
  </w:num>
  <w:num w:numId="34" w16cid:durableId="114759913">
    <w:abstractNumId w:val="13"/>
  </w:num>
  <w:num w:numId="35" w16cid:durableId="1639266103">
    <w:abstractNumId w:val="41"/>
  </w:num>
  <w:num w:numId="36" w16cid:durableId="1023827328">
    <w:abstractNumId w:val="25"/>
  </w:num>
  <w:num w:numId="37" w16cid:durableId="18256574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72423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75967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95758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71856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42239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846928">
    <w:abstractNumId w:val="16"/>
  </w:num>
  <w:num w:numId="44" w16cid:durableId="363487195">
    <w:abstractNumId w:val="20"/>
  </w:num>
  <w:num w:numId="45" w16cid:durableId="1905598594">
    <w:abstractNumId w:val="26"/>
  </w:num>
  <w:num w:numId="46" w16cid:durableId="204552212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84"/>
    <w:rsid w:val="00002C13"/>
    <w:rsid w:val="00025334"/>
    <w:rsid w:val="0003191B"/>
    <w:rsid w:val="00031A4F"/>
    <w:rsid w:val="000323EE"/>
    <w:rsid w:val="000342B2"/>
    <w:rsid w:val="000345FB"/>
    <w:rsid w:val="00042472"/>
    <w:rsid w:val="00047D85"/>
    <w:rsid w:val="000509F8"/>
    <w:rsid w:val="00051142"/>
    <w:rsid w:val="00060606"/>
    <w:rsid w:val="000679F7"/>
    <w:rsid w:val="00070228"/>
    <w:rsid w:val="000803F6"/>
    <w:rsid w:val="000914BF"/>
    <w:rsid w:val="00097E6E"/>
    <w:rsid w:val="000A2203"/>
    <w:rsid w:val="000A3237"/>
    <w:rsid w:val="000A3D04"/>
    <w:rsid w:val="000B3312"/>
    <w:rsid w:val="000B3793"/>
    <w:rsid w:val="000B6003"/>
    <w:rsid w:val="000B72C3"/>
    <w:rsid w:val="000C0B88"/>
    <w:rsid w:val="000C18BC"/>
    <w:rsid w:val="000C3969"/>
    <w:rsid w:val="000C58A6"/>
    <w:rsid w:val="000C62AD"/>
    <w:rsid w:val="000C70F1"/>
    <w:rsid w:val="000D0AEA"/>
    <w:rsid w:val="000D3321"/>
    <w:rsid w:val="000E2AC8"/>
    <w:rsid w:val="000E4B66"/>
    <w:rsid w:val="000E4B8D"/>
    <w:rsid w:val="000F575B"/>
    <w:rsid w:val="000F6849"/>
    <w:rsid w:val="001031EE"/>
    <w:rsid w:val="00110803"/>
    <w:rsid w:val="00111E81"/>
    <w:rsid w:val="001126C9"/>
    <w:rsid w:val="0012001C"/>
    <w:rsid w:val="001210D2"/>
    <w:rsid w:val="00124280"/>
    <w:rsid w:val="00126F84"/>
    <w:rsid w:val="00127D24"/>
    <w:rsid w:val="001338A6"/>
    <w:rsid w:val="00141D66"/>
    <w:rsid w:val="00157F7B"/>
    <w:rsid w:val="00166123"/>
    <w:rsid w:val="00171493"/>
    <w:rsid w:val="001736CE"/>
    <w:rsid w:val="0017646D"/>
    <w:rsid w:val="00176F5A"/>
    <w:rsid w:val="001805D7"/>
    <w:rsid w:val="00182927"/>
    <w:rsid w:val="00185CCF"/>
    <w:rsid w:val="00187175"/>
    <w:rsid w:val="0019046F"/>
    <w:rsid w:val="0019345F"/>
    <w:rsid w:val="001A18FC"/>
    <w:rsid w:val="001A41F4"/>
    <w:rsid w:val="001A530B"/>
    <w:rsid w:val="001A5DB8"/>
    <w:rsid w:val="001B24E1"/>
    <w:rsid w:val="001C06D4"/>
    <w:rsid w:val="001C0B4A"/>
    <w:rsid w:val="001C1E43"/>
    <w:rsid w:val="001C29D3"/>
    <w:rsid w:val="001C2C3D"/>
    <w:rsid w:val="001C5933"/>
    <w:rsid w:val="001C5D61"/>
    <w:rsid w:val="001C7C86"/>
    <w:rsid w:val="001D1553"/>
    <w:rsid w:val="001D46E4"/>
    <w:rsid w:val="001D5B2F"/>
    <w:rsid w:val="001D63F4"/>
    <w:rsid w:val="001E3A5C"/>
    <w:rsid w:val="001F09E9"/>
    <w:rsid w:val="001F110D"/>
    <w:rsid w:val="001F1F45"/>
    <w:rsid w:val="001F2DEC"/>
    <w:rsid w:val="001F31CB"/>
    <w:rsid w:val="001F77FE"/>
    <w:rsid w:val="002004FE"/>
    <w:rsid w:val="002015AC"/>
    <w:rsid w:val="002020EB"/>
    <w:rsid w:val="00202A83"/>
    <w:rsid w:val="0021036E"/>
    <w:rsid w:val="00217EA8"/>
    <w:rsid w:val="002216D0"/>
    <w:rsid w:val="002258A0"/>
    <w:rsid w:val="00227187"/>
    <w:rsid w:val="00227D1C"/>
    <w:rsid w:val="00233F16"/>
    <w:rsid w:val="00234DF6"/>
    <w:rsid w:val="002378D7"/>
    <w:rsid w:val="002404C7"/>
    <w:rsid w:val="002413AB"/>
    <w:rsid w:val="002417CC"/>
    <w:rsid w:val="00242872"/>
    <w:rsid w:val="002432DF"/>
    <w:rsid w:val="00244325"/>
    <w:rsid w:val="00246D63"/>
    <w:rsid w:val="00251FC6"/>
    <w:rsid w:val="00253615"/>
    <w:rsid w:val="00255A19"/>
    <w:rsid w:val="00257ACD"/>
    <w:rsid w:val="0026240E"/>
    <w:rsid w:val="00262F2D"/>
    <w:rsid w:val="0026517B"/>
    <w:rsid w:val="002712CE"/>
    <w:rsid w:val="0027167F"/>
    <w:rsid w:val="00273B85"/>
    <w:rsid w:val="00273CDE"/>
    <w:rsid w:val="002767C1"/>
    <w:rsid w:val="00276839"/>
    <w:rsid w:val="00281EBA"/>
    <w:rsid w:val="0028404D"/>
    <w:rsid w:val="00285756"/>
    <w:rsid w:val="00293182"/>
    <w:rsid w:val="00293EED"/>
    <w:rsid w:val="002C3886"/>
    <w:rsid w:val="002C4B35"/>
    <w:rsid w:val="002C5542"/>
    <w:rsid w:val="002C7794"/>
    <w:rsid w:val="002D0721"/>
    <w:rsid w:val="002E07C5"/>
    <w:rsid w:val="002E2A08"/>
    <w:rsid w:val="002E70F8"/>
    <w:rsid w:val="002F25A5"/>
    <w:rsid w:val="002F4F31"/>
    <w:rsid w:val="002F509F"/>
    <w:rsid w:val="002F6573"/>
    <w:rsid w:val="002F7BCD"/>
    <w:rsid w:val="00302E99"/>
    <w:rsid w:val="0030518C"/>
    <w:rsid w:val="00307712"/>
    <w:rsid w:val="00311C83"/>
    <w:rsid w:val="00312B6C"/>
    <w:rsid w:val="00326254"/>
    <w:rsid w:val="003329A0"/>
    <w:rsid w:val="00343A56"/>
    <w:rsid w:val="00343A71"/>
    <w:rsid w:val="00345D5B"/>
    <w:rsid w:val="00354E90"/>
    <w:rsid w:val="00356C1F"/>
    <w:rsid w:val="0036049A"/>
    <w:rsid w:val="00363C0C"/>
    <w:rsid w:val="003652E8"/>
    <w:rsid w:val="00366429"/>
    <w:rsid w:val="003746E4"/>
    <w:rsid w:val="00374BCA"/>
    <w:rsid w:val="00380490"/>
    <w:rsid w:val="00380930"/>
    <w:rsid w:val="00380B09"/>
    <w:rsid w:val="003815DF"/>
    <w:rsid w:val="003869D8"/>
    <w:rsid w:val="003872CA"/>
    <w:rsid w:val="003942AC"/>
    <w:rsid w:val="00394D16"/>
    <w:rsid w:val="00397AE4"/>
    <w:rsid w:val="003A0551"/>
    <w:rsid w:val="003A1CCE"/>
    <w:rsid w:val="003A23DE"/>
    <w:rsid w:val="003B16A7"/>
    <w:rsid w:val="003B17BA"/>
    <w:rsid w:val="003C1236"/>
    <w:rsid w:val="003C26C5"/>
    <w:rsid w:val="003D1C48"/>
    <w:rsid w:val="003D28EC"/>
    <w:rsid w:val="003D42D5"/>
    <w:rsid w:val="003E6E80"/>
    <w:rsid w:val="003F3B0D"/>
    <w:rsid w:val="003F466C"/>
    <w:rsid w:val="003F48CF"/>
    <w:rsid w:val="003F6AED"/>
    <w:rsid w:val="0040162B"/>
    <w:rsid w:val="00411C9F"/>
    <w:rsid w:val="004148C2"/>
    <w:rsid w:val="00415279"/>
    <w:rsid w:val="00416849"/>
    <w:rsid w:val="00433228"/>
    <w:rsid w:val="00436992"/>
    <w:rsid w:val="00436A1D"/>
    <w:rsid w:val="004421C0"/>
    <w:rsid w:val="0044416D"/>
    <w:rsid w:val="0045522C"/>
    <w:rsid w:val="00455EE4"/>
    <w:rsid w:val="00456EE4"/>
    <w:rsid w:val="00464FAD"/>
    <w:rsid w:val="0047070B"/>
    <w:rsid w:val="00471E75"/>
    <w:rsid w:val="00472099"/>
    <w:rsid w:val="0047242D"/>
    <w:rsid w:val="00473226"/>
    <w:rsid w:val="004741F0"/>
    <w:rsid w:val="00474636"/>
    <w:rsid w:val="00485920"/>
    <w:rsid w:val="00490A40"/>
    <w:rsid w:val="004922CA"/>
    <w:rsid w:val="004A22F1"/>
    <w:rsid w:val="004A496E"/>
    <w:rsid w:val="004A782A"/>
    <w:rsid w:val="004B26DF"/>
    <w:rsid w:val="004B44A2"/>
    <w:rsid w:val="004B44B4"/>
    <w:rsid w:val="004B4FDF"/>
    <w:rsid w:val="004B5932"/>
    <w:rsid w:val="004B76A8"/>
    <w:rsid w:val="004C2448"/>
    <w:rsid w:val="004C4AE0"/>
    <w:rsid w:val="004C5433"/>
    <w:rsid w:val="004C5776"/>
    <w:rsid w:val="004C5F64"/>
    <w:rsid w:val="004D29BB"/>
    <w:rsid w:val="004D776D"/>
    <w:rsid w:val="004F0CBF"/>
    <w:rsid w:val="00506AC8"/>
    <w:rsid w:val="00510EEA"/>
    <w:rsid w:val="0051194C"/>
    <w:rsid w:val="005169EE"/>
    <w:rsid w:val="00516F49"/>
    <w:rsid w:val="00520E70"/>
    <w:rsid w:val="00522E07"/>
    <w:rsid w:val="00523DC3"/>
    <w:rsid w:val="00524EDB"/>
    <w:rsid w:val="0052629A"/>
    <w:rsid w:val="00531223"/>
    <w:rsid w:val="005315F0"/>
    <w:rsid w:val="00531E92"/>
    <w:rsid w:val="00532434"/>
    <w:rsid w:val="00532542"/>
    <w:rsid w:val="00533381"/>
    <w:rsid w:val="00533F51"/>
    <w:rsid w:val="00544E5B"/>
    <w:rsid w:val="005514F8"/>
    <w:rsid w:val="00554B29"/>
    <w:rsid w:val="0055508C"/>
    <w:rsid w:val="00556915"/>
    <w:rsid w:val="005628A0"/>
    <w:rsid w:val="00562E26"/>
    <w:rsid w:val="00562E65"/>
    <w:rsid w:val="00584D09"/>
    <w:rsid w:val="00585BCE"/>
    <w:rsid w:val="00585E61"/>
    <w:rsid w:val="00592D0A"/>
    <w:rsid w:val="00594916"/>
    <w:rsid w:val="00594CC8"/>
    <w:rsid w:val="005A1BF5"/>
    <w:rsid w:val="005A56C6"/>
    <w:rsid w:val="005B48D6"/>
    <w:rsid w:val="005B5EC8"/>
    <w:rsid w:val="005D42D9"/>
    <w:rsid w:val="005D6FB0"/>
    <w:rsid w:val="005E0F35"/>
    <w:rsid w:val="005E1947"/>
    <w:rsid w:val="005F19F2"/>
    <w:rsid w:val="005F34F3"/>
    <w:rsid w:val="005F7E65"/>
    <w:rsid w:val="00614AAE"/>
    <w:rsid w:val="00624464"/>
    <w:rsid w:val="00625412"/>
    <w:rsid w:val="00627806"/>
    <w:rsid w:val="00630255"/>
    <w:rsid w:val="006320F9"/>
    <w:rsid w:val="00632E2A"/>
    <w:rsid w:val="00632FF1"/>
    <w:rsid w:val="00637718"/>
    <w:rsid w:val="00643DED"/>
    <w:rsid w:val="006456E9"/>
    <w:rsid w:val="006519F0"/>
    <w:rsid w:val="0065245E"/>
    <w:rsid w:val="00653751"/>
    <w:rsid w:val="00660AE9"/>
    <w:rsid w:val="006658FE"/>
    <w:rsid w:val="00670EDF"/>
    <w:rsid w:val="00670FF4"/>
    <w:rsid w:val="006717A4"/>
    <w:rsid w:val="006756E0"/>
    <w:rsid w:val="00676723"/>
    <w:rsid w:val="00683320"/>
    <w:rsid w:val="0068430D"/>
    <w:rsid w:val="006923F2"/>
    <w:rsid w:val="00694E55"/>
    <w:rsid w:val="006A62C0"/>
    <w:rsid w:val="006B1C17"/>
    <w:rsid w:val="006C2E83"/>
    <w:rsid w:val="006C3AB9"/>
    <w:rsid w:val="006D1351"/>
    <w:rsid w:val="006D4046"/>
    <w:rsid w:val="006D5B9F"/>
    <w:rsid w:val="006E2055"/>
    <w:rsid w:val="006E5D70"/>
    <w:rsid w:val="006E5E8F"/>
    <w:rsid w:val="006E6297"/>
    <w:rsid w:val="006F2804"/>
    <w:rsid w:val="006F2D37"/>
    <w:rsid w:val="006F5164"/>
    <w:rsid w:val="007035A2"/>
    <w:rsid w:val="00703B6F"/>
    <w:rsid w:val="0070655A"/>
    <w:rsid w:val="007100A1"/>
    <w:rsid w:val="00714403"/>
    <w:rsid w:val="007157EE"/>
    <w:rsid w:val="00717B2A"/>
    <w:rsid w:val="00723FAE"/>
    <w:rsid w:val="00724493"/>
    <w:rsid w:val="007333DE"/>
    <w:rsid w:val="00735D1E"/>
    <w:rsid w:val="007407D8"/>
    <w:rsid w:val="00741409"/>
    <w:rsid w:val="007417D5"/>
    <w:rsid w:val="00741BE3"/>
    <w:rsid w:val="00742A48"/>
    <w:rsid w:val="00743E21"/>
    <w:rsid w:val="00744181"/>
    <w:rsid w:val="007512D7"/>
    <w:rsid w:val="00751BB2"/>
    <w:rsid w:val="00763054"/>
    <w:rsid w:val="0076358B"/>
    <w:rsid w:val="007652E2"/>
    <w:rsid w:val="00766E70"/>
    <w:rsid w:val="00771E65"/>
    <w:rsid w:val="00774226"/>
    <w:rsid w:val="007771A4"/>
    <w:rsid w:val="00777D28"/>
    <w:rsid w:val="00782BBC"/>
    <w:rsid w:val="007870D5"/>
    <w:rsid w:val="007A370A"/>
    <w:rsid w:val="007A455A"/>
    <w:rsid w:val="007A5CA4"/>
    <w:rsid w:val="007B1B81"/>
    <w:rsid w:val="007B2492"/>
    <w:rsid w:val="007B2E0B"/>
    <w:rsid w:val="007B3475"/>
    <w:rsid w:val="007B3AA0"/>
    <w:rsid w:val="007B48F9"/>
    <w:rsid w:val="007C047F"/>
    <w:rsid w:val="007C66E7"/>
    <w:rsid w:val="007C772F"/>
    <w:rsid w:val="007D3D04"/>
    <w:rsid w:val="007D3F92"/>
    <w:rsid w:val="007D7549"/>
    <w:rsid w:val="007D7DC1"/>
    <w:rsid w:val="007E6C8E"/>
    <w:rsid w:val="007F3FEB"/>
    <w:rsid w:val="007F5E9C"/>
    <w:rsid w:val="007F7EFB"/>
    <w:rsid w:val="008020CC"/>
    <w:rsid w:val="00814DCC"/>
    <w:rsid w:val="00814FB7"/>
    <w:rsid w:val="00820A7D"/>
    <w:rsid w:val="00822733"/>
    <w:rsid w:val="0082273D"/>
    <w:rsid w:val="0082551A"/>
    <w:rsid w:val="00835302"/>
    <w:rsid w:val="00844B79"/>
    <w:rsid w:val="00846583"/>
    <w:rsid w:val="0085488A"/>
    <w:rsid w:val="008555B3"/>
    <w:rsid w:val="00863A58"/>
    <w:rsid w:val="00871B8B"/>
    <w:rsid w:val="00880133"/>
    <w:rsid w:val="008822BD"/>
    <w:rsid w:val="00885167"/>
    <w:rsid w:val="008871CD"/>
    <w:rsid w:val="00891516"/>
    <w:rsid w:val="00891710"/>
    <w:rsid w:val="00897BA3"/>
    <w:rsid w:val="008A0453"/>
    <w:rsid w:val="008A2AFB"/>
    <w:rsid w:val="008B04D6"/>
    <w:rsid w:val="008B52A0"/>
    <w:rsid w:val="008B564D"/>
    <w:rsid w:val="008C36CD"/>
    <w:rsid w:val="008D6AA2"/>
    <w:rsid w:val="008E3534"/>
    <w:rsid w:val="008F1C72"/>
    <w:rsid w:val="008F3394"/>
    <w:rsid w:val="008F3A1D"/>
    <w:rsid w:val="008F4F47"/>
    <w:rsid w:val="008F7215"/>
    <w:rsid w:val="00903D39"/>
    <w:rsid w:val="00907E84"/>
    <w:rsid w:val="009111F6"/>
    <w:rsid w:val="00911AEB"/>
    <w:rsid w:val="00913DBA"/>
    <w:rsid w:val="009215A0"/>
    <w:rsid w:val="00922846"/>
    <w:rsid w:val="00925B17"/>
    <w:rsid w:val="009264E8"/>
    <w:rsid w:val="00927C9C"/>
    <w:rsid w:val="009300B9"/>
    <w:rsid w:val="00930635"/>
    <w:rsid w:val="00936195"/>
    <w:rsid w:val="009408B2"/>
    <w:rsid w:val="00941E41"/>
    <w:rsid w:val="0094296D"/>
    <w:rsid w:val="00942F7F"/>
    <w:rsid w:val="00943F24"/>
    <w:rsid w:val="009521BD"/>
    <w:rsid w:val="00957609"/>
    <w:rsid w:val="0096292E"/>
    <w:rsid w:val="00964C7A"/>
    <w:rsid w:val="00965060"/>
    <w:rsid w:val="0096651A"/>
    <w:rsid w:val="00985CA0"/>
    <w:rsid w:val="00991524"/>
    <w:rsid w:val="009916E7"/>
    <w:rsid w:val="009952E3"/>
    <w:rsid w:val="00995AB5"/>
    <w:rsid w:val="009A03A9"/>
    <w:rsid w:val="009B0252"/>
    <w:rsid w:val="009B1C9F"/>
    <w:rsid w:val="009B4A66"/>
    <w:rsid w:val="009B6A78"/>
    <w:rsid w:val="009B71F2"/>
    <w:rsid w:val="009C3401"/>
    <w:rsid w:val="009C47E4"/>
    <w:rsid w:val="009C6AA7"/>
    <w:rsid w:val="009C782D"/>
    <w:rsid w:val="009D0C61"/>
    <w:rsid w:val="009D122D"/>
    <w:rsid w:val="009D655E"/>
    <w:rsid w:val="009D7949"/>
    <w:rsid w:val="009E15BE"/>
    <w:rsid w:val="009E4E2C"/>
    <w:rsid w:val="009E4F98"/>
    <w:rsid w:val="009F2042"/>
    <w:rsid w:val="009F5C5A"/>
    <w:rsid w:val="00A01255"/>
    <w:rsid w:val="00A04B4C"/>
    <w:rsid w:val="00A064AA"/>
    <w:rsid w:val="00A06FC5"/>
    <w:rsid w:val="00A10305"/>
    <w:rsid w:val="00A175AC"/>
    <w:rsid w:val="00A214C9"/>
    <w:rsid w:val="00A23B69"/>
    <w:rsid w:val="00A2453C"/>
    <w:rsid w:val="00A2475D"/>
    <w:rsid w:val="00A263A9"/>
    <w:rsid w:val="00A418CC"/>
    <w:rsid w:val="00A41E19"/>
    <w:rsid w:val="00A41F0C"/>
    <w:rsid w:val="00A42BBB"/>
    <w:rsid w:val="00A44738"/>
    <w:rsid w:val="00A45C8F"/>
    <w:rsid w:val="00A46C9D"/>
    <w:rsid w:val="00A512D2"/>
    <w:rsid w:val="00A51770"/>
    <w:rsid w:val="00A5349A"/>
    <w:rsid w:val="00A54BF1"/>
    <w:rsid w:val="00A55682"/>
    <w:rsid w:val="00A561B8"/>
    <w:rsid w:val="00A611A1"/>
    <w:rsid w:val="00A61A85"/>
    <w:rsid w:val="00A61CAB"/>
    <w:rsid w:val="00A64AA7"/>
    <w:rsid w:val="00A670AE"/>
    <w:rsid w:val="00A70B65"/>
    <w:rsid w:val="00A775D4"/>
    <w:rsid w:val="00A8070C"/>
    <w:rsid w:val="00A8094B"/>
    <w:rsid w:val="00A85B8B"/>
    <w:rsid w:val="00A90C51"/>
    <w:rsid w:val="00A952F6"/>
    <w:rsid w:val="00AA6A70"/>
    <w:rsid w:val="00AA7148"/>
    <w:rsid w:val="00AA72E2"/>
    <w:rsid w:val="00AB3513"/>
    <w:rsid w:val="00AB37E2"/>
    <w:rsid w:val="00AB459F"/>
    <w:rsid w:val="00AB7BC0"/>
    <w:rsid w:val="00AC1767"/>
    <w:rsid w:val="00AC229B"/>
    <w:rsid w:val="00AC422B"/>
    <w:rsid w:val="00AC4894"/>
    <w:rsid w:val="00AD36F1"/>
    <w:rsid w:val="00AD3D49"/>
    <w:rsid w:val="00AD46A5"/>
    <w:rsid w:val="00AD6273"/>
    <w:rsid w:val="00AE72AF"/>
    <w:rsid w:val="00AF1BFA"/>
    <w:rsid w:val="00AF7AA0"/>
    <w:rsid w:val="00B00FF0"/>
    <w:rsid w:val="00B049EC"/>
    <w:rsid w:val="00B067B4"/>
    <w:rsid w:val="00B068FD"/>
    <w:rsid w:val="00B169AC"/>
    <w:rsid w:val="00B17075"/>
    <w:rsid w:val="00B26052"/>
    <w:rsid w:val="00B26A75"/>
    <w:rsid w:val="00B26EDA"/>
    <w:rsid w:val="00B3403B"/>
    <w:rsid w:val="00B3408F"/>
    <w:rsid w:val="00B357B7"/>
    <w:rsid w:val="00B357C3"/>
    <w:rsid w:val="00B35905"/>
    <w:rsid w:val="00B44AA2"/>
    <w:rsid w:val="00B51297"/>
    <w:rsid w:val="00B53861"/>
    <w:rsid w:val="00B54190"/>
    <w:rsid w:val="00B56258"/>
    <w:rsid w:val="00B643A6"/>
    <w:rsid w:val="00B64525"/>
    <w:rsid w:val="00B716C6"/>
    <w:rsid w:val="00B74A5E"/>
    <w:rsid w:val="00B80029"/>
    <w:rsid w:val="00B84A6E"/>
    <w:rsid w:val="00B8647C"/>
    <w:rsid w:val="00B92BAE"/>
    <w:rsid w:val="00B9501D"/>
    <w:rsid w:val="00BA137C"/>
    <w:rsid w:val="00BA4D35"/>
    <w:rsid w:val="00BA52BC"/>
    <w:rsid w:val="00BA7164"/>
    <w:rsid w:val="00BB3F19"/>
    <w:rsid w:val="00BB41ED"/>
    <w:rsid w:val="00BB699D"/>
    <w:rsid w:val="00BC0535"/>
    <w:rsid w:val="00BC3433"/>
    <w:rsid w:val="00BC5028"/>
    <w:rsid w:val="00BD14C8"/>
    <w:rsid w:val="00BD14D9"/>
    <w:rsid w:val="00BD19F9"/>
    <w:rsid w:val="00BD2A8D"/>
    <w:rsid w:val="00BD5D37"/>
    <w:rsid w:val="00BE1775"/>
    <w:rsid w:val="00BE27E4"/>
    <w:rsid w:val="00BE3F50"/>
    <w:rsid w:val="00BE402F"/>
    <w:rsid w:val="00BE7764"/>
    <w:rsid w:val="00BF19D2"/>
    <w:rsid w:val="00C027D1"/>
    <w:rsid w:val="00C10FD8"/>
    <w:rsid w:val="00C147DD"/>
    <w:rsid w:val="00C171D5"/>
    <w:rsid w:val="00C17CC7"/>
    <w:rsid w:val="00C234D6"/>
    <w:rsid w:val="00C235A4"/>
    <w:rsid w:val="00C245D6"/>
    <w:rsid w:val="00C248DF"/>
    <w:rsid w:val="00C249F8"/>
    <w:rsid w:val="00C31C9A"/>
    <w:rsid w:val="00C33262"/>
    <w:rsid w:val="00C354CD"/>
    <w:rsid w:val="00C356BD"/>
    <w:rsid w:val="00C41156"/>
    <w:rsid w:val="00C44230"/>
    <w:rsid w:val="00C4681A"/>
    <w:rsid w:val="00C47938"/>
    <w:rsid w:val="00C5647A"/>
    <w:rsid w:val="00C672E8"/>
    <w:rsid w:val="00C727F4"/>
    <w:rsid w:val="00C74909"/>
    <w:rsid w:val="00C75251"/>
    <w:rsid w:val="00C761F2"/>
    <w:rsid w:val="00C81DCD"/>
    <w:rsid w:val="00C826F3"/>
    <w:rsid w:val="00C847E0"/>
    <w:rsid w:val="00C85CA1"/>
    <w:rsid w:val="00C86297"/>
    <w:rsid w:val="00C9085C"/>
    <w:rsid w:val="00C90A93"/>
    <w:rsid w:val="00CA0805"/>
    <w:rsid w:val="00CA12BD"/>
    <w:rsid w:val="00CA36CD"/>
    <w:rsid w:val="00CA3D33"/>
    <w:rsid w:val="00CA53DD"/>
    <w:rsid w:val="00CA6452"/>
    <w:rsid w:val="00CA7F0E"/>
    <w:rsid w:val="00CB0362"/>
    <w:rsid w:val="00CB4012"/>
    <w:rsid w:val="00CC2F15"/>
    <w:rsid w:val="00CE1DC5"/>
    <w:rsid w:val="00CE2F34"/>
    <w:rsid w:val="00CE4425"/>
    <w:rsid w:val="00CF47D4"/>
    <w:rsid w:val="00D0250A"/>
    <w:rsid w:val="00D05118"/>
    <w:rsid w:val="00D111C7"/>
    <w:rsid w:val="00D13F93"/>
    <w:rsid w:val="00D16575"/>
    <w:rsid w:val="00D2050D"/>
    <w:rsid w:val="00D22E5B"/>
    <w:rsid w:val="00D249DE"/>
    <w:rsid w:val="00D31BB0"/>
    <w:rsid w:val="00D361E8"/>
    <w:rsid w:val="00D37E73"/>
    <w:rsid w:val="00D4528B"/>
    <w:rsid w:val="00D53C43"/>
    <w:rsid w:val="00D563F3"/>
    <w:rsid w:val="00D57ED0"/>
    <w:rsid w:val="00D6028F"/>
    <w:rsid w:val="00D609C1"/>
    <w:rsid w:val="00D667B5"/>
    <w:rsid w:val="00D7047B"/>
    <w:rsid w:val="00D7056F"/>
    <w:rsid w:val="00D75167"/>
    <w:rsid w:val="00D756E7"/>
    <w:rsid w:val="00D75E50"/>
    <w:rsid w:val="00D80B82"/>
    <w:rsid w:val="00D86794"/>
    <w:rsid w:val="00D87742"/>
    <w:rsid w:val="00D87EBE"/>
    <w:rsid w:val="00D93821"/>
    <w:rsid w:val="00D93BA3"/>
    <w:rsid w:val="00DA06F1"/>
    <w:rsid w:val="00DA589B"/>
    <w:rsid w:val="00DA7667"/>
    <w:rsid w:val="00DB038E"/>
    <w:rsid w:val="00DB3175"/>
    <w:rsid w:val="00DC04E0"/>
    <w:rsid w:val="00DC5F15"/>
    <w:rsid w:val="00DC6073"/>
    <w:rsid w:val="00DC73BF"/>
    <w:rsid w:val="00DD1739"/>
    <w:rsid w:val="00DD519A"/>
    <w:rsid w:val="00DD5620"/>
    <w:rsid w:val="00DD57E2"/>
    <w:rsid w:val="00DD672F"/>
    <w:rsid w:val="00DD6821"/>
    <w:rsid w:val="00DE0007"/>
    <w:rsid w:val="00DE10B8"/>
    <w:rsid w:val="00DE3F25"/>
    <w:rsid w:val="00DE443D"/>
    <w:rsid w:val="00DF1B88"/>
    <w:rsid w:val="00DF4593"/>
    <w:rsid w:val="00E024E3"/>
    <w:rsid w:val="00E02EC1"/>
    <w:rsid w:val="00E04929"/>
    <w:rsid w:val="00E050E1"/>
    <w:rsid w:val="00E058CE"/>
    <w:rsid w:val="00E06D18"/>
    <w:rsid w:val="00E155DA"/>
    <w:rsid w:val="00E170D6"/>
    <w:rsid w:val="00E20AC8"/>
    <w:rsid w:val="00E25A36"/>
    <w:rsid w:val="00E3178B"/>
    <w:rsid w:val="00E32573"/>
    <w:rsid w:val="00E33365"/>
    <w:rsid w:val="00E408DA"/>
    <w:rsid w:val="00E432CC"/>
    <w:rsid w:val="00E460C8"/>
    <w:rsid w:val="00E46F16"/>
    <w:rsid w:val="00E541E9"/>
    <w:rsid w:val="00E57CDE"/>
    <w:rsid w:val="00E6456A"/>
    <w:rsid w:val="00E665AC"/>
    <w:rsid w:val="00E67687"/>
    <w:rsid w:val="00E70952"/>
    <w:rsid w:val="00E70C78"/>
    <w:rsid w:val="00E71E3D"/>
    <w:rsid w:val="00E74487"/>
    <w:rsid w:val="00E80DAE"/>
    <w:rsid w:val="00E82C4C"/>
    <w:rsid w:val="00E83CD3"/>
    <w:rsid w:val="00E87564"/>
    <w:rsid w:val="00EA151D"/>
    <w:rsid w:val="00EA2ABA"/>
    <w:rsid w:val="00EA59BF"/>
    <w:rsid w:val="00EB09F5"/>
    <w:rsid w:val="00EB3752"/>
    <w:rsid w:val="00EB4D8C"/>
    <w:rsid w:val="00EE0889"/>
    <w:rsid w:val="00EE0E64"/>
    <w:rsid w:val="00EE1B40"/>
    <w:rsid w:val="00EE2A89"/>
    <w:rsid w:val="00EF0D68"/>
    <w:rsid w:val="00EF0E7D"/>
    <w:rsid w:val="00EF25C2"/>
    <w:rsid w:val="00EF3F90"/>
    <w:rsid w:val="00EF456C"/>
    <w:rsid w:val="00EF730F"/>
    <w:rsid w:val="00F009B4"/>
    <w:rsid w:val="00F00F07"/>
    <w:rsid w:val="00F03D4E"/>
    <w:rsid w:val="00F048F5"/>
    <w:rsid w:val="00F05124"/>
    <w:rsid w:val="00F0719C"/>
    <w:rsid w:val="00F07B55"/>
    <w:rsid w:val="00F10343"/>
    <w:rsid w:val="00F13B35"/>
    <w:rsid w:val="00F14E16"/>
    <w:rsid w:val="00F254B6"/>
    <w:rsid w:val="00F32163"/>
    <w:rsid w:val="00F35828"/>
    <w:rsid w:val="00F36C88"/>
    <w:rsid w:val="00F504B9"/>
    <w:rsid w:val="00F507EC"/>
    <w:rsid w:val="00F528D0"/>
    <w:rsid w:val="00F559E7"/>
    <w:rsid w:val="00F56741"/>
    <w:rsid w:val="00F6212D"/>
    <w:rsid w:val="00F7036C"/>
    <w:rsid w:val="00F746D8"/>
    <w:rsid w:val="00F768D9"/>
    <w:rsid w:val="00F807BF"/>
    <w:rsid w:val="00F82700"/>
    <w:rsid w:val="00F916A8"/>
    <w:rsid w:val="00F95016"/>
    <w:rsid w:val="00F95C14"/>
    <w:rsid w:val="00F96392"/>
    <w:rsid w:val="00F9678A"/>
    <w:rsid w:val="00FA004C"/>
    <w:rsid w:val="00FA20AE"/>
    <w:rsid w:val="00FA5FBE"/>
    <w:rsid w:val="00FA6A23"/>
    <w:rsid w:val="00FB0C4B"/>
    <w:rsid w:val="00FB3E5C"/>
    <w:rsid w:val="00FB5826"/>
    <w:rsid w:val="00FC1B79"/>
    <w:rsid w:val="00FC7C0E"/>
    <w:rsid w:val="00FD30E0"/>
    <w:rsid w:val="00FD353B"/>
    <w:rsid w:val="00FE4E72"/>
    <w:rsid w:val="00FE7A33"/>
    <w:rsid w:val="00FF1356"/>
    <w:rsid w:val="00FF271D"/>
    <w:rsid w:val="00FF2723"/>
    <w:rsid w:val="00FF7568"/>
    <w:rsid w:val="01B340C6"/>
    <w:rsid w:val="01EA55E2"/>
    <w:rsid w:val="044B8AEE"/>
    <w:rsid w:val="054EF521"/>
    <w:rsid w:val="0585D76C"/>
    <w:rsid w:val="05860A3D"/>
    <w:rsid w:val="06FCB9D9"/>
    <w:rsid w:val="075F7B7F"/>
    <w:rsid w:val="075FE121"/>
    <w:rsid w:val="0845CB16"/>
    <w:rsid w:val="08AB1CE6"/>
    <w:rsid w:val="09395263"/>
    <w:rsid w:val="0A2200A2"/>
    <w:rsid w:val="0AEE22E8"/>
    <w:rsid w:val="0B4026C9"/>
    <w:rsid w:val="0B821612"/>
    <w:rsid w:val="0C098688"/>
    <w:rsid w:val="0D020440"/>
    <w:rsid w:val="0DF86181"/>
    <w:rsid w:val="0E02ABEC"/>
    <w:rsid w:val="0F77A4EE"/>
    <w:rsid w:val="11C0E08D"/>
    <w:rsid w:val="11FAB830"/>
    <w:rsid w:val="125CA0BA"/>
    <w:rsid w:val="12C44AC0"/>
    <w:rsid w:val="12CE625A"/>
    <w:rsid w:val="13135949"/>
    <w:rsid w:val="13AF88B5"/>
    <w:rsid w:val="14A7D39C"/>
    <w:rsid w:val="154EB315"/>
    <w:rsid w:val="15C074B5"/>
    <w:rsid w:val="168CC9CC"/>
    <w:rsid w:val="16D915CE"/>
    <w:rsid w:val="184E7472"/>
    <w:rsid w:val="1B4B0409"/>
    <w:rsid w:val="1B6297D4"/>
    <w:rsid w:val="1CED602F"/>
    <w:rsid w:val="1D2F61C6"/>
    <w:rsid w:val="1D693969"/>
    <w:rsid w:val="1E392D91"/>
    <w:rsid w:val="202E8113"/>
    <w:rsid w:val="203538CF"/>
    <w:rsid w:val="20BD344E"/>
    <w:rsid w:val="21FB4B05"/>
    <w:rsid w:val="2316AEA5"/>
    <w:rsid w:val="2320936E"/>
    <w:rsid w:val="2338BFAC"/>
    <w:rsid w:val="23D521E9"/>
    <w:rsid w:val="24828C2C"/>
    <w:rsid w:val="24C05FDE"/>
    <w:rsid w:val="251263BF"/>
    <w:rsid w:val="25279AA5"/>
    <w:rsid w:val="26A4812D"/>
    <w:rsid w:val="279DA0F5"/>
    <w:rsid w:val="2819AD00"/>
    <w:rsid w:val="2895EBDC"/>
    <w:rsid w:val="28D7ED73"/>
    <w:rsid w:val="298C491D"/>
    <w:rsid w:val="2A35B84C"/>
    <w:rsid w:val="2A5506CC"/>
    <w:rsid w:val="2B6A9CBC"/>
    <w:rsid w:val="2B856E81"/>
    <w:rsid w:val="2D1CDE2C"/>
    <w:rsid w:val="2DA40983"/>
    <w:rsid w:val="30245A3E"/>
    <w:rsid w:val="30961BDE"/>
    <w:rsid w:val="32B4E9B1"/>
    <w:rsid w:val="33166C99"/>
    <w:rsid w:val="33E28EDF"/>
    <w:rsid w:val="340F8C61"/>
    <w:rsid w:val="34A60D72"/>
    <w:rsid w:val="350514C1"/>
    <w:rsid w:val="3591C526"/>
    <w:rsid w:val="361660C7"/>
    <w:rsid w:val="362C474A"/>
    <w:rsid w:val="36F67F70"/>
    <w:rsid w:val="37FA654C"/>
    <w:rsid w:val="38541778"/>
    <w:rsid w:val="38AE781E"/>
    <w:rsid w:val="38D6697A"/>
    <w:rsid w:val="392C7FEB"/>
    <w:rsid w:val="3969A886"/>
    <w:rsid w:val="39D3C087"/>
    <w:rsid w:val="39D7968D"/>
    <w:rsid w:val="3B0F14B7"/>
    <w:rsid w:val="3BC268AF"/>
    <w:rsid w:val="3C9645AA"/>
    <w:rsid w:val="3CFDEFB0"/>
    <w:rsid w:val="3E0E66D5"/>
    <w:rsid w:val="408177CD"/>
    <w:rsid w:val="40E84CF2"/>
    <w:rsid w:val="4265991C"/>
    <w:rsid w:val="4273481E"/>
    <w:rsid w:val="42EC91A2"/>
    <w:rsid w:val="4336A380"/>
    <w:rsid w:val="441CF957"/>
    <w:rsid w:val="454241C0"/>
    <w:rsid w:val="4584A8F9"/>
    <w:rsid w:val="4672A975"/>
    <w:rsid w:val="468AD5B3"/>
    <w:rsid w:val="470F0BB2"/>
    <w:rsid w:val="4879B0AC"/>
    <w:rsid w:val="4AFA0167"/>
    <w:rsid w:val="4B6BC307"/>
    <w:rsid w:val="4C07F273"/>
    <w:rsid w:val="4C201EB1"/>
    <w:rsid w:val="4C5700FC"/>
    <w:rsid w:val="4D2DA07E"/>
    <w:rsid w:val="4D87CE53"/>
    <w:rsid w:val="4E368CE9"/>
    <w:rsid w:val="4E5DD562"/>
    <w:rsid w:val="4ED78488"/>
    <w:rsid w:val="4FDD7E71"/>
    <w:rsid w:val="5034E9BF"/>
    <w:rsid w:val="5037AC46"/>
    <w:rsid w:val="50F61F8A"/>
    <w:rsid w:val="51924EF6"/>
    <w:rsid w:val="5295B929"/>
    <w:rsid w:val="52DC850F"/>
    <w:rsid w:val="53039804"/>
    <w:rsid w:val="5329BEA1"/>
    <w:rsid w:val="54A6A529"/>
    <w:rsid w:val="55F1C8D2"/>
    <w:rsid w:val="561BD0FC"/>
    <w:rsid w:val="5734A4E6"/>
    <w:rsid w:val="59305A00"/>
    <w:rsid w:val="595A94FB"/>
    <w:rsid w:val="5A4A0D0B"/>
    <w:rsid w:val="5AD02670"/>
    <w:rsid w:val="5B151D5F"/>
    <w:rsid w:val="5B496FF4"/>
    <w:rsid w:val="5D30F5DA"/>
    <w:rsid w:val="5E043A62"/>
    <w:rsid w:val="5E612ABE"/>
    <w:rsid w:val="5E983FDA"/>
    <w:rsid w:val="5EAECD57"/>
    <w:rsid w:val="5EFFAD72"/>
    <w:rsid w:val="6000551E"/>
    <w:rsid w:val="63671E71"/>
    <w:rsid w:val="63B0DABD"/>
    <w:rsid w:val="643A62F9"/>
    <w:rsid w:val="64E4AB77"/>
    <w:rsid w:val="65AD64B8"/>
    <w:rsid w:val="65C55E25"/>
    <w:rsid w:val="65E4ACA5"/>
    <w:rsid w:val="66CFEA9A"/>
    <w:rsid w:val="66E7E407"/>
    <w:rsid w:val="68187E8D"/>
    <w:rsid w:val="689457C7"/>
    <w:rsid w:val="6994FF73"/>
    <w:rsid w:val="6CA20093"/>
    <w:rsid w:val="6F32AA4C"/>
    <w:rsid w:val="6F3A17EA"/>
    <w:rsid w:val="6F7C4C52"/>
    <w:rsid w:val="71AFEB69"/>
    <w:rsid w:val="72299A8F"/>
    <w:rsid w:val="726FD640"/>
    <w:rsid w:val="72BB666A"/>
    <w:rsid w:val="72DD9097"/>
    <w:rsid w:val="7386FFC6"/>
    <w:rsid w:val="741842B7"/>
    <w:rsid w:val="74483591"/>
    <w:rsid w:val="74D1334E"/>
    <w:rsid w:val="757B5FCD"/>
    <w:rsid w:val="78ACE409"/>
    <w:rsid w:val="79DD4BBE"/>
    <w:rsid w:val="7AD5FC47"/>
    <w:rsid w:val="7AE0B5F1"/>
    <w:rsid w:val="7C827007"/>
    <w:rsid w:val="7EE30CA0"/>
    <w:rsid w:val="7F6D2D4F"/>
    <w:rsid w:val="7FCE51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8C0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2">
    <w:name w:val="CM22"/>
    <w:basedOn w:val="Default"/>
    <w:next w:val="Default"/>
    <w:rPr>
      <w:rFonts w:cs="Times New Roman"/>
      <w:color w:val="auto"/>
    </w:rPr>
  </w:style>
  <w:style w:type="paragraph" w:customStyle="1" w:styleId="CM23">
    <w:name w:val="CM23"/>
    <w:basedOn w:val="Default"/>
    <w:next w:val="Default"/>
    <w:rPr>
      <w:rFonts w:cs="Times New Roman"/>
      <w:color w:val="auto"/>
    </w:rPr>
  </w:style>
  <w:style w:type="paragraph" w:customStyle="1" w:styleId="CM4">
    <w:name w:val="CM4"/>
    <w:basedOn w:val="Default"/>
    <w:next w:val="Default"/>
    <w:pPr>
      <w:spacing w:line="276" w:lineRule="atLeast"/>
    </w:pPr>
    <w:rPr>
      <w:rFonts w:cs="Times New Roman"/>
      <w:color w:val="auto"/>
    </w:rPr>
  </w:style>
  <w:style w:type="paragraph" w:customStyle="1" w:styleId="CM2">
    <w:name w:val="CM2"/>
    <w:basedOn w:val="Default"/>
    <w:next w:val="Default"/>
    <w:pPr>
      <w:spacing w:line="276" w:lineRule="atLeast"/>
    </w:pPr>
    <w:rPr>
      <w:rFonts w:cs="Times New Roman"/>
      <w:color w:val="auto"/>
    </w:rPr>
  </w:style>
  <w:style w:type="paragraph" w:customStyle="1" w:styleId="CM27">
    <w:name w:val="CM27"/>
    <w:basedOn w:val="Default"/>
    <w:next w:val="Default"/>
    <w:rPr>
      <w:rFonts w:cs="Times New Roman"/>
      <w:color w:val="auto"/>
    </w:rPr>
  </w:style>
  <w:style w:type="paragraph" w:customStyle="1" w:styleId="CM5">
    <w:name w:val="CM5"/>
    <w:basedOn w:val="Default"/>
    <w:next w:val="Default"/>
    <w:pPr>
      <w:spacing w:line="276" w:lineRule="atLeast"/>
    </w:pPr>
    <w:rPr>
      <w:rFonts w:cs="Times New Roman"/>
      <w:color w:val="auto"/>
    </w:rPr>
  </w:style>
  <w:style w:type="paragraph" w:customStyle="1" w:styleId="CM21">
    <w:name w:val="CM21"/>
    <w:basedOn w:val="Default"/>
    <w:next w:val="Default"/>
    <w:pPr>
      <w:spacing w:line="276" w:lineRule="atLeast"/>
    </w:pPr>
    <w:rPr>
      <w:rFonts w:cs="Times New Roman"/>
      <w:color w:val="auto"/>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ListBullet5">
    <w:name w:val="List Bullet 5"/>
    <w:basedOn w:val="Normal"/>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character" w:styleId="Hyperlink">
    <w:name w:val="Hyperlink"/>
    <w:rPr>
      <w:color w:val="0000FF"/>
      <w:u w:val="single"/>
    </w:rPr>
  </w:style>
  <w:style w:type="character" w:styleId="PageNumber">
    <w:name w:val="page number"/>
    <w:basedOn w:val="DefaultParagraphFont"/>
  </w:style>
  <w:style w:type="character" w:customStyle="1" w:styleId="djano">
    <w:name w:val="djano"/>
    <w:semiHidden/>
    <w:rPr>
      <w:rFonts w:ascii="Arial" w:hAnsi="Arial" w:cs="Arial"/>
      <w:b w:val="0"/>
      <w:bCs w:val="0"/>
      <w:i w:val="0"/>
      <w:iCs w:val="0"/>
      <w:strike w:val="0"/>
      <w:color w:val="auto"/>
      <w:sz w:val="24"/>
      <w:szCs w:val="24"/>
      <w:u w:val="none"/>
    </w:rPr>
  </w:style>
  <w:style w:type="character" w:styleId="Emphasis">
    <w:name w:val="Emphasis"/>
    <w:qFormat/>
    <w:rPr>
      <w:i/>
      <w:iCs/>
    </w:rPr>
  </w:style>
  <w:style w:type="character" w:styleId="CommentReference">
    <w:name w:val="annotation reference"/>
    <w:semiHidden/>
    <w:rPr>
      <w:sz w:val="16"/>
      <w:szCs w:val="16"/>
    </w:rPr>
  </w:style>
  <w:style w:type="paragraph" w:customStyle="1" w:styleId="level3">
    <w:name w:val="level3"/>
    <w:basedOn w:val="Normal"/>
    <w:pPr>
      <w:autoSpaceDE w:val="0"/>
      <w:autoSpaceDN w:val="0"/>
      <w:ind w:left="2160" w:hanging="720"/>
    </w:pPr>
    <w:rPr>
      <w:rFonts w:ascii="Times New Roman" w:hAnsi="Times New Roman"/>
      <w:sz w:val="24"/>
      <w:szCs w:val="24"/>
    </w:rPr>
  </w:style>
  <w:style w:type="paragraph" w:customStyle="1" w:styleId="level2">
    <w:name w:val="level2"/>
    <w:basedOn w:val="Normal"/>
    <w:pPr>
      <w:autoSpaceDE w:val="0"/>
      <w:autoSpaceDN w:val="0"/>
      <w:ind w:left="1440" w:hanging="720"/>
    </w:pPr>
    <w:rPr>
      <w:rFonts w:ascii="Times New Roman" w:hAnsi="Times New Roman"/>
      <w:sz w:val="24"/>
      <w:szCs w:val="24"/>
    </w:rPr>
  </w:style>
  <w:style w:type="character" w:customStyle="1" w:styleId="FootnoteTextChar">
    <w:name w:val="Footnote Text Char"/>
    <w:link w:val="FootnoteText"/>
    <w:semiHidden/>
    <w:rsid w:val="001210D2"/>
    <w:rPr>
      <w:rFonts w:ascii="Arial" w:hAnsi="Arial"/>
      <w:lang w:val="en-GB" w:eastAsia="en-GB" w:bidi="ar-SA"/>
    </w:rPr>
  </w:style>
  <w:style w:type="paragraph" w:styleId="ListParagraph">
    <w:name w:val="List Paragraph"/>
    <w:basedOn w:val="Normal"/>
    <w:uiPriority w:val="34"/>
    <w:qFormat/>
    <w:rsid w:val="00E04929"/>
    <w:pPr>
      <w:spacing w:after="200" w:line="276" w:lineRule="auto"/>
      <w:ind w:left="720"/>
      <w:contextualSpacing/>
    </w:pPr>
    <w:rPr>
      <w:rFonts w:ascii="Calibri" w:hAnsi="Calibri"/>
      <w:szCs w:val="22"/>
      <w:lang w:eastAsia="en-US"/>
    </w:rPr>
  </w:style>
  <w:style w:type="character" w:customStyle="1" w:styleId="NorfolkCountyCouncil">
    <w:name w:val="Norfolk County Council"/>
    <w:semiHidden/>
    <w:rsid w:val="00FF1356"/>
    <w:rPr>
      <w:rFonts w:ascii="Arial" w:hAnsi="Arial" w:cs="Arial"/>
      <w:b w:val="0"/>
      <w:bCs w:val="0"/>
      <w:i w:val="0"/>
      <w:iCs w:val="0"/>
      <w:strike w:val="0"/>
      <w:color w:val="auto"/>
      <w:sz w:val="24"/>
      <w:szCs w:val="24"/>
      <w:u w:val="none"/>
    </w:rPr>
  </w:style>
  <w:style w:type="paragraph" w:styleId="Revision">
    <w:name w:val="Revision"/>
    <w:hidden/>
    <w:uiPriority w:val="99"/>
    <w:semiHidden/>
    <w:rsid w:val="00E70952"/>
    <w:rPr>
      <w:rFonts w:ascii="Arial" w:hAnsi="Arial"/>
      <w:sz w:val="22"/>
    </w:rPr>
  </w:style>
  <w:style w:type="table" w:styleId="TableGrid">
    <w:name w:val="Table Grid"/>
    <w:basedOn w:val="TableNormal"/>
    <w:rsid w:val="00227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7047B"/>
    <w:rPr>
      <w:color w:val="605E5C"/>
      <w:shd w:val="clear" w:color="auto" w:fill="E1DFDD"/>
    </w:rPr>
  </w:style>
  <w:style w:type="table" w:styleId="Table3Deffects1">
    <w:name w:val="Table 3D effects 1"/>
    <w:basedOn w:val="TableNormal"/>
    <w:rsid w:val="006E5D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6E5D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2">
    <w:name w:val="Plain Table 2"/>
    <w:basedOn w:val="TableNormal"/>
    <w:uiPriority w:val="42"/>
    <w:rsid w:val="00A61C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53243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161">
      <w:bodyDiv w:val="1"/>
      <w:marLeft w:val="0"/>
      <w:marRight w:val="0"/>
      <w:marTop w:val="0"/>
      <w:marBottom w:val="0"/>
      <w:divBdr>
        <w:top w:val="none" w:sz="0" w:space="0" w:color="auto"/>
        <w:left w:val="none" w:sz="0" w:space="0" w:color="auto"/>
        <w:bottom w:val="none" w:sz="0" w:space="0" w:color="auto"/>
        <w:right w:val="none" w:sz="0" w:space="0" w:color="auto"/>
      </w:divBdr>
      <w:divsChild>
        <w:div w:id="98531247">
          <w:marLeft w:val="0"/>
          <w:marRight w:val="0"/>
          <w:marTop w:val="0"/>
          <w:marBottom w:val="0"/>
          <w:divBdr>
            <w:top w:val="none" w:sz="0" w:space="0" w:color="auto"/>
            <w:left w:val="none" w:sz="0" w:space="0" w:color="auto"/>
            <w:bottom w:val="none" w:sz="0" w:space="0" w:color="auto"/>
            <w:right w:val="none" w:sz="0" w:space="0" w:color="auto"/>
          </w:divBdr>
          <w:divsChild>
            <w:div w:id="370034873">
              <w:marLeft w:val="0"/>
              <w:marRight w:val="0"/>
              <w:marTop w:val="0"/>
              <w:marBottom w:val="0"/>
              <w:divBdr>
                <w:top w:val="none" w:sz="0" w:space="0" w:color="auto"/>
                <w:left w:val="none" w:sz="0" w:space="0" w:color="auto"/>
                <w:bottom w:val="none" w:sz="0" w:space="0" w:color="auto"/>
                <w:right w:val="none" w:sz="0" w:space="0" w:color="auto"/>
              </w:divBdr>
              <w:divsChild>
                <w:div w:id="1013801027">
                  <w:marLeft w:val="0"/>
                  <w:marRight w:val="0"/>
                  <w:marTop w:val="0"/>
                  <w:marBottom w:val="0"/>
                  <w:divBdr>
                    <w:top w:val="none" w:sz="0" w:space="0" w:color="auto"/>
                    <w:left w:val="none" w:sz="0" w:space="0" w:color="auto"/>
                    <w:bottom w:val="none" w:sz="0" w:space="0" w:color="auto"/>
                    <w:right w:val="none" w:sz="0" w:space="0" w:color="auto"/>
                  </w:divBdr>
                  <w:divsChild>
                    <w:div w:id="1478450447">
                      <w:marLeft w:val="0"/>
                      <w:marRight w:val="0"/>
                      <w:marTop w:val="0"/>
                      <w:marBottom w:val="0"/>
                      <w:divBdr>
                        <w:top w:val="none" w:sz="0" w:space="0" w:color="auto"/>
                        <w:left w:val="none" w:sz="0" w:space="0" w:color="auto"/>
                        <w:bottom w:val="none" w:sz="0" w:space="0" w:color="auto"/>
                        <w:right w:val="none" w:sz="0" w:space="0" w:color="auto"/>
                      </w:divBdr>
                      <w:divsChild>
                        <w:div w:id="1801261730">
                          <w:marLeft w:val="0"/>
                          <w:marRight w:val="0"/>
                          <w:marTop w:val="0"/>
                          <w:marBottom w:val="0"/>
                          <w:divBdr>
                            <w:top w:val="none" w:sz="0" w:space="0" w:color="auto"/>
                            <w:left w:val="none" w:sz="0" w:space="0" w:color="auto"/>
                            <w:bottom w:val="none" w:sz="0" w:space="0" w:color="auto"/>
                            <w:right w:val="none" w:sz="0" w:space="0" w:color="auto"/>
                          </w:divBdr>
                          <w:divsChild>
                            <w:div w:id="1555196875">
                              <w:marLeft w:val="0"/>
                              <w:marRight w:val="0"/>
                              <w:marTop w:val="0"/>
                              <w:marBottom w:val="0"/>
                              <w:divBdr>
                                <w:top w:val="none" w:sz="0" w:space="0" w:color="auto"/>
                                <w:left w:val="none" w:sz="0" w:space="0" w:color="auto"/>
                                <w:bottom w:val="none" w:sz="0" w:space="0" w:color="auto"/>
                                <w:right w:val="none" w:sz="0" w:space="0" w:color="auto"/>
                              </w:divBdr>
                              <w:divsChild>
                                <w:div w:id="207225401">
                                  <w:marLeft w:val="0"/>
                                  <w:marRight w:val="0"/>
                                  <w:marTop w:val="0"/>
                                  <w:marBottom w:val="0"/>
                                  <w:divBdr>
                                    <w:top w:val="none" w:sz="0" w:space="0" w:color="auto"/>
                                    <w:left w:val="none" w:sz="0" w:space="0" w:color="auto"/>
                                    <w:bottom w:val="none" w:sz="0" w:space="0" w:color="auto"/>
                                    <w:right w:val="none" w:sz="0" w:space="0" w:color="auto"/>
                                  </w:divBdr>
                                  <w:divsChild>
                                    <w:div w:id="1784687356">
                                      <w:marLeft w:val="0"/>
                                      <w:marRight w:val="0"/>
                                      <w:marTop w:val="0"/>
                                      <w:marBottom w:val="0"/>
                                      <w:divBdr>
                                        <w:top w:val="none" w:sz="0" w:space="0" w:color="auto"/>
                                        <w:left w:val="none" w:sz="0" w:space="0" w:color="auto"/>
                                        <w:bottom w:val="none" w:sz="0" w:space="0" w:color="auto"/>
                                        <w:right w:val="none" w:sz="0" w:space="0" w:color="auto"/>
                                      </w:divBdr>
                                      <w:divsChild>
                                        <w:div w:id="1870100328">
                                          <w:marLeft w:val="0"/>
                                          <w:marRight w:val="0"/>
                                          <w:marTop w:val="0"/>
                                          <w:marBottom w:val="0"/>
                                          <w:divBdr>
                                            <w:top w:val="none" w:sz="0" w:space="0" w:color="auto"/>
                                            <w:left w:val="none" w:sz="0" w:space="0" w:color="auto"/>
                                            <w:bottom w:val="none" w:sz="0" w:space="0" w:color="auto"/>
                                            <w:right w:val="none" w:sz="0" w:space="0" w:color="auto"/>
                                          </w:divBdr>
                                          <w:divsChild>
                                            <w:div w:id="18786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411533">
      <w:bodyDiv w:val="1"/>
      <w:marLeft w:val="0"/>
      <w:marRight w:val="0"/>
      <w:marTop w:val="0"/>
      <w:marBottom w:val="0"/>
      <w:divBdr>
        <w:top w:val="none" w:sz="0" w:space="0" w:color="auto"/>
        <w:left w:val="none" w:sz="0" w:space="0" w:color="auto"/>
        <w:bottom w:val="none" w:sz="0" w:space="0" w:color="auto"/>
        <w:right w:val="none" w:sz="0" w:space="0" w:color="auto"/>
      </w:divBdr>
      <w:divsChild>
        <w:div w:id="1973559212">
          <w:marLeft w:val="0"/>
          <w:marRight w:val="0"/>
          <w:marTop w:val="0"/>
          <w:marBottom w:val="0"/>
          <w:divBdr>
            <w:top w:val="none" w:sz="0" w:space="0" w:color="auto"/>
            <w:left w:val="none" w:sz="0" w:space="0" w:color="auto"/>
            <w:bottom w:val="none" w:sz="0" w:space="0" w:color="auto"/>
            <w:right w:val="none" w:sz="0" w:space="0" w:color="auto"/>
          </w:divBdr>
          <w:divsChild>
            <w:div w:id="261688244">
              <w:marLeft w:val="0"/>
              <w:marRight w:val="0"/>
              <w:marTop w:val="0"/>
              <w:marBottom w:val="0"/>
              <w:divBdr>
                <w:top w:val="none" w:sz="0" w:space="0" w:color="auto"/>
                <w:left w:val="none" w:sz="0" w:space="0" w:color="auto"/>
                <w:bottom w:val="none" w:sz="0" w:space="0" w:color="auto"/>
                <w:right w:val="none" w:sz="0" w:space="0" w:color="auto"/>
              </w:divBdr>
              <w:divsChild>
                <w:div w:id="357126720">
                  <w:marLeft w:val="0"/>
                  <w:marRight w:val="0"/>
                  <w:marTop w:val="0"/>
                  <w:marBottom w:val="0"/>
                  <w:divBdr>
                    <w:top w:val="none" w:sz="0" w:space="0" w:color="auto"/>
                    <w:left w:val="none" w:sz="0" w:space="0" w:color="auto"/>
                    <w:bottom w:val="none" w:sz="0" w:space="0" w:color="auto"/>
                    <w:right w:val="none" w:sz="0" w:space="0" w:color="auto"/>
                  </w:divBdr>
                  <w:divsChild>
                    <w:div w:id="824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77465">
      <w:bodyDiv w:val="1"/>
      <w:marLeft w:val="0"/>
      <w:marRight w:val="0"/>
      <w:marTop w:val="0"/>
      <w:marBottom w:val="0"/>
      <w:divBdr>
        <w:top w:val="none" w:sz="0" w:space="0" w:color="auto"/>
        <w:left w:val="none" w:sz="0" w:space="0" w:color="auto"/>
        <w:bottom w:val="none" w:sz="0" w:space="0" w:color="auto"/>
        <w:right w:val="none" w:sz="0" w:space="0" w:color="auto"/>
      </w:divBdr>
    </w:div>
    <w:div w:id="545482798">
      <w:bodyDiv w:val="1"/>
      <w:marLeft w:val="0"/>
      <w:marRight w:val="0"/>
      <w:marTop w:val="0"/>
      <w:marBottom w:val="0"/>
      <w:divBdr>
        <w:top w:val="none" w:sz="0" w:space="0" w:color="auto"/>
        <w:left w:val="none" w:sz="0" w:space="0" w:color="auto"/>
        <w:bottom w:val="none" w:sz="0" w:space="0" w:color="auto"/>
        <w:right w:val="none" w:sz="0" w:space="0" w:color="auto"/>
      </w:divBdr>
    </w:div>
    <w:div w:id="573273067">
      <w:bodyDiv w:val="1"/>
      <w:marLeft w:val="0"/>
      <w:marRight w:val="0"/>
      <w:marTop w:val="0"/>
      <w:marBottom w:val="0"/>
      <w:divBdr>
        <w:top w:val="none" w:sz="0" w:space="0" w:color="auto"/>
        <w:left w:val="none" w:sz="0" w:space="0" w:color="auto"/>
        <w:bottom w:val="none" w:sz="0" w:space="0" w:color="auto"/>
        <w:right w:val="none" w:sz="0" w:space="0" w:color="auto"/>
      </w:divBdr>
    </w:div>
    <w:div w:id="593052263">
      <w:bodyDiv w:val="1"/>
      <w:marLeft w:val="0"/>
      <w:marRight w:val="0"/>
      <w:marTop w:val="0"/>
      <w:marBottom w:val="0"/>
      <w:divBdr>
        <w:top w:val="none" w:sz="0" w:space="0" w:color="auto"/>
        <w:left w:val="none" w:sz="0" w:space="0" w:color="auto"/>
        <w:bottom w:val="none" w:sz="0" w:space="0" w:color="auto"/>
        <w:right w:val="none" w:sz="0" w:space="0" w:color="auto"/>
      </w:divBdr>
    </w:div>
    <w:div w:id="874731694">
      <w:bodyDiv w:val="1"/>
      <w:marLeft w:val="0"/>
      <w:marRight w:val="0"/>
      <w:marTop w:val="0"/>
      <w:marBottom w:val="0"/>
      <w:divBdr>
        <w:top w:val="none" w:sz="0" w:space="0" w:color="auto"/>
        <w:left w:val="none" w:sz="0" w:space="0" w:color="auto"/>
        <w:bottom w:val="none" w:sz="0" w:space="0" w:color="auto"/>
        <w:right w:val="none" w:sz="0" w:space="0" w:color="auto"/>
      </w:divBdr>
    </w:div>
    <w:div w:id="947546176">
      <w:bodyDiv w:val="1"/>
      <w:marLeft w:val="0"/>
      <w:marRight w:val="0"/>
      <w:marTop w:val="0"/>
      <w:marBottom w:val="0"/>
      <w:divBdr>
        <w:top w:val="none" w:sz="0" w:space="0" w:color="auto"/>
        <w:left w:val="none" w:sz="0" w:space="0" w:color="auto"/>
        <w:bottom w:val="none" w:sz="0" w:space="0" w:color="auto"/>
        <w:right w:val="none" w:sz="0" w:space="0" w:color="auto"/>
      </w:divBdr>
    </w:div>
    <w:div w:id="1024400467">
      <w:bodyDiv w:val="1"/>
      <w:marLeft w:val="0"/>
      <w:marRight w:val="0"/>
      <w:marTop w:val="0"/>
      <w:marBottom w:val="0"/>
      <w:divBdr>
        <w:top w:val="none" w:sz="0" w:space="0" w:color="auto"/>
        <w:left w:val="none" w:sz="0" w:space="0" w:color="auto"/>
        <w:bottom w:val="none" w:sz="0" w:space="0" w:color="auto"/>
        <w:right w:val="none" w:sz="0" w:space="0" w:color="auto"/>
      </w:divBdr>
    </w:div>
    <w:div w:id="1193881205">
      <w:bodyDiv w:val="1"/>
      <w:marLeft w:val="0"/>
      <w:marRight w:val="0"/>
      <w:marTop w:val="0"/>
      <w:marBottom w:val="0"/>
      <w:divBdr>
        <w:top w:val="none" w:sz="0" w:space="0" w:color="auto"/>
        <w:left w:val="none" w:sz="0" w:space="0" w:color="auto"/>
        <w:bottom w:val="none" w:sz="0" w:space="0" w:color="auto"/>
        <w:right w:val="none" w:sz="0" w:space="0" w:color="auto"/>
      </w:divBdr>
    </w:div>
    <w:div w:id="1336424378">
      <w:bodyDiv w:val="1"/>
      <w:marLeft w:val="0"/>
      <w:marRight w:val="0"/>
      <w:marTop w:val="0"/>
      <w:marBottom w:val="0"/>
      <w:divBdr>
        <w:top w:val="none" w:sz="0" w:space="0" w:color="auto"/>
        <w:left w:val="none" w:sz="0" w:space="0" w:color="auto"/>
        <w:bottom w:val="none" w:sz="0" w:space="0" w:color="auto"/>
        <w:right w:val="none" w:sz="0" w:space="0" w:color="auto"/>
      </w:divBdr>
    </w:div>
    <w:div w:id="1376390569">
      <w:bodyDiv w:val="1"/>
      <w:marLeft w:val="0"/>
      <w:marRight w:val="0"/>
      <w:marTop w:val="0"/>
      <w:marBottom w:val="0"/>
      <w:divBdr>
        <w:top w:val="none" w:sz="0" w:space="0" w:color="auto"/>
        <w:left w:val="none" w:sz="0" w:space="0" w:color="auto"/>
        <w:bottom w:val="none" w:sz="0" w:space="0" w:color="auto"/>
        <w:right w:val="none" w:sz="0" w:space="0" w:color="auto"/>
      </w:divBdr>
    </w:div>
    <w:div w:id="1489441325">
      <w:bodyDiv w:val="1"/>
      <w:marLeft w:val="0"/>
      <w:marRight w:val="0"/>
      <w:marTop w:val="0"/>
      <w:marBottom w:val="0"/>
      <w:divBdr>
        <w:top w:val="none" w:sz="0" w:space="0" w:color="auto"/>
        <w:left w:val="none" w:sz="0" w:space="0" w:color="auto"/>
        <w:bottom w:val="none" w:sz="0" w:space="0" w:color="auto"/>
        <w:right w:val="none" w:sz="0" w:space="0" w:color="auto"/>
      </w:divBdr>
    </w:div>
    <w:div w:id="1509904783">
      <w:bodyDiv w:val="1"/>
      <w:marLeft w:val="0"/>
      <w:marRight w:val="0"/>
      <w:marTop w:val="0"/>
      <w:marBottom w:val="0"/>
      <w:divBdr>
        <w:top w:val="none" w:sz="0" w:space="0" w:color="auto"/>
        <w:left w:val="none" w:sz="0" w:space="0" w:color="auto"/>
        <w:bottom w:val="none" w:sz="0" w:space="0" w:color="auto"/>
        <w:right w:val="none" w:sz="0" w:space="0" w:color="auto"/>
      </w:divBdr>
    </w:div>
    <w:div w:id="1538589856">
      <w:bodyDiv w:val="1"/>
      <w:marLeft w:val="0"/>
      <w:marRight w:val="0"/>
      <w:marTop w:val="0"/>
      <w:marBottom w:val="0"/>
      <w:divBdr>
        <w:top w:val="none" w:sz="0" w:space="0" w:color="auto"/>
        <w:left w:val="none" w:sz="0" w:space="0" w:color="auto"/>
        <w:bottom w:val="none" w:sz="0" w:space="0" w:color="auto"/>
        <w:right w:val="none" w:sz="0" w:space="0" w:color="auto"/>
      </w:divBdr>
    </w:div>
    <w:div w:id="1539079465">
      <w:bodyDiv w:val="1"/>
      <w:marLeft w:val="0"/>
      <w:marRight w:val="0"/>
      <w:marTop w:val="0"/>
      <w:marBottom w:val="0"/>
      <w:divBdr>
        <w:top w:val="none" w:sz="0" w:space="0" w:color="auto"/>
        <w:left w:val="none" w:sz="0" w:space="0" w:color="auto"/>
        <w:bottom w:val="none" w:sz="0" w:space="0" w:color="auto"/>
        <w:right w:val="none" w:sz="0" w:space="0" w:color="auto"/>
      </w:divBdr>
    </w:div>
    <w:div w:id="1607032948">
      <w:bodyDiv w:val="1"/>
      <w:marLeft w:val="0"/>
      <w:marRight w:val="0"/>
      <w:marTop w:val="0"/>
      <w:marBottom w:val="0"/>
      <w:divBdr>
        <w:top w:val="none" w:sz="0" w:space="0" w:color="auto"/>
        <w:left w:val="none" w:sz="0" w:space="0" w:color="auto"/>
        <w:bottom w:val="none" w:sz="0" w:space="0" w:color="auto"/>
        <w:right w:val="none" w:sz="0" w:space="0" w:color="auto"/>
      </w:divBdr>
    </w:div>
    <w:div w:id="1689328784">
      <w:bodyDiv w:val="1"/>
      <w:marLeft w:val="0"/>
      <w:marRight w:val="0"/>
      <w:marTop w:val="0"/>
      <w:marBottom w:val="0"/>
      <w:divBdr>
        <w:top w:val="none" w:sz="0" w:space="0" w:color="auto"/>
        <w:left w:val="none" w:sz="0" w:space="0" w:color="auto"/>
        <w:bottom w:val="none" w:sz="0" w:space="0" w:color="auto"/>
        <w:right w:val="none" w:sz="0" w:space="0" w:color="auto"/>
      </w:divBdr>
    </w:div>
    <w:div w:id="1763330061">
      <w:bodyDiv w:val="1"/>
      <w:marLeft w:val="0"/>
      <w:marRight w:val="0"/>
      <w:marTop w:val="0"/>
      <w:marBottom w:val="0"/>
      <w:divBdr>
        <w:top w:val="none" w:sz="0" w:space="0" w:color="auto"/>
        <w:left w:val="none" w:sz="0" w:space="0" w:color="auto"/>
        <w:bottom w:val="none" w:sz="0" w:space="0" w:color="auto"/>
        <w:right w:val="none" w:sz="0" w:space="0" w:color="auto"/>
      </w:divBdr>
    </w:div>
    <w:div w:id="1764914168">
      <w:bodyDiv w:val="1"/>
      <w:marLeft w:val="0"/>
      <w:marRight w:val="0"/>
      <w:marTop w:val="0"/>
      <w:marBottom w:val="0"/>
      <w:divBdr>
        <w:top w:val="none" w:sz="0" w:space="0" w:color="auto"/>
        <w:left w:val="none" w:sz="0" w:space="0" w:color="auto"/>
        <w:bottom w:val="none" w:sz="0" w:space="0" w:color="auto"/>
        <w:right w:val="none" w:sz="0" w:space="0" w:color="auto"/>
      </w:divBdr>
    </w:div>
    <w:div w:id="1987779485">
      <w:bodyDiv w:val="1"/>
      <w:marLeft w:val="0"/>
      <w:marRight w:val="0"/>
      <w:marTop w:val="0"/>
      <w:marBottom w:val="0"/>
      <w:divBdr>
        <w:top w:val="none" w:sz="0" w:space="0" w:color="auto"/>
        <w:left w:val="none" w:sz="0" w:space="0" w:color="auto"/>
        <w:bottom w:val="none" w:sz="0" w:space="0" w:color="auto"/>
        <w:right w:val="none" w:sz="0" w:space="0" w:color="auto"/>
      </w:divBdr>
    </w:div>
    <w:div w:id="20240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gov.uk/publications/code_for_crown_prosecu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office-for-product-safety-and-stand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office-for-product-safety-and-standards" TargetMode="External"/><Relationship Id="rId5" Type="http://schemas.openxmlformats.org/officeDocument/2006/relationships/webSettings" Target="webSettings.xml"/><Relationship Id="rId15" Type="http://schemas.openxmlformats.org/officeDocument/2006/relationships/hyperlink" Target="mailto:imports@suffolk.gov.uk" TargetMode="External"/><Relationship Id="rId10" Type="http://schemas.openxmlformats.org/officeDocument/2006/relationships/hyperlink" Target="https://www.gov.uk/government/publications/farm-visits-farm-regulators-charter" TargetMode="External"/><Relationship Id="rId4" Type="http://schemas.openxmlformats.org/officeDocument/2006/relationships/settings" Target="settings.xml"/><Relationship Id="rId9" Type="http://schemas.openxmlformats.org/officeDocument/2006/relationships/hyperlink" Target="https://www.gov.uk/government/publications/regulators-code" TargetMode="External"/><Relationship Id="rId14" Type="http://schemas.openxmlformats.org/officeDocument/2006/relationships/hyperlink" Target="https://www.suffolk.gov.uk/about/give-feedback-or-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F6FB-C55A-44A6-8D67-149BFA36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6802</Words>
  <Characters>36633</Characters>
  <Application>Microsoft Office Word</Application>
  <DocSecurity>0</DocSecurity>
  <Lines>305</Lines>
  <Paragraphs>86</Paragraphs>
  <ScaleCrop>false</ScaleCrop>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Enforcement policy March 2023</dc:title>
  <dc:subject>
  </dc:subject>
  <dc:creator>
  </dc:creator>
  <cp:keywords>
  </cp:keywords>
  <dc:description>
  </dc:description>
  <cp:lastModifiedBy>Sasha Watson</cp:lastModifiedBy>
  <cp:revision>4</cp:revision>
  <dcterms:created xsi:type="dcterms:W3CDTF">2023-03-03T11:38:00Z</dcterms:created>
  <dcterms:modified xsi:type="dcterms:W3CDTF">2023-04-04T10:07:07Z</dcterms:modified>
</cp:coreProperties>
</file>