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60556" w:rsidR="00771EE9" w:rsidP="00665DF3" w:rsidRDefault="003106AA" w14:paraId="7BEF1884" w14:textId="053A8D59">
      <w:pPr>
        <w:rPr>
          <w:b/>
          <w:bCs/>
          <w:color w:val="002060"/>
        </w:rPr>
      </w:pPr>
      <w:r w:rsidRPr="00360556">
        <w:rPr>
          <w:b/>
          <w:bCs/>
          <w:color w:val="002060"/>
        </w:rPr>
        <w:t xml:space="preserve">Total Communication Approach </w:t>
      </w:r>
    </w:p>
    <w:p w:rsidRPr="00665DF3" w:rsidR="00925365" w:rsidP="00665DF3" w:rsidRDefault="00EE5D9D" w14:paraId="7B1B6EF8" w14:textId="77777777">
      <w:pPr>
        <w:pStyle w:val="ListParagraph"/>
        <w:numPr>
          <w:ilvl w:val="0"/>
          <w:numId w:val="1"/>
        </w:numPr>
        <w:rPr>
          <w:b/>
          <w:bCs/>
          <w:color w:val="0070C0"/>
        </w:rPr>
      </w:pPr>
      <w:r w:rsidRPr="00665DF3">
        <w:rPr>
          <w:b/>
          <w:bCs/>
          <w:color w:val="0070C0"/>
        </w:rPr>
        <w:t>Introduction</w:t>
      </w:r>
    </w:p>
    <w:p w:rsidR="00593053" w:rsidP="0000429B" w:rsidRDefault="00925365" w14:paraId="63478658" w14:textId="5709BB67">
      <w:pPr>
        <w:pStyle w:val="ListParagraph"/>
        <w:ind w:left="0"/>
      </w:pPr>
      <w:r>
        <w:t>T</w:t>
      </w:r>
      <w:r w:rsidR="00593053">
        <w:t xml:space="preserve">otal Communication </w:t>
      </w:r>
      <w:r w:rsidRPr="00593053" w:rsidR="00593053">
        <w:t xml:space="preserve">is a flexible, inclusive </w:t>
      </w:r>
      <w:r w:rsidR="00593053">
        <w:t>approach</w:t>
      </w:r>
      <w:r w:rsidRPr="00593053" w:rsidR="00593053">
        <w:t xml:space="preserve"> that promotes the use of </w:t>
      </w:r>
      <w:r w:rsidRPr="00925365" w:rsidR="00593053">
        <w:rPr>
          <w:b/>
          <w:bCs/>
        </w:rPr>
        <w:t>all modalitie</w:t>
      </w:r>
      <w:r w:rsidRPr="00925365" w:rsidR="00593053">
        <w:rPr>
          <w:b/>
          <w:bCs/>
        </w:rPr>
        <w:t xml:space="preserve">s </w:t>
      </w:r>
      <w:r w:rsidRPr="00593053" w:rsidR="00593053">
        <w:t>to support individuals with communication difficulties</w:t>
      </w:r>
      <w:r w:rsidR="00665DF3">
        <w:t>.</w:t>
      </w:r>
      <w:r w:rsidRPr="00593053" w:rsidR="00593053">
        <w:t xml:space="preserve"> </w:t>
      </w:r>
      <w:r w:rsidR="00BB374A">
        <w:t>Total Communication aims not be a fixed method, but an approach that adapts to an individual’s needs</w:t>
      </w:r>
      <w:r w:rsidR="00BB374A">
        <w:t xml:space="preserve">, </w:t>
      </w:r>
      <w:r w:rsidR="00FA19DC">
        <w:t xml:space="preserve">where they can use any combination of methods that work best for them, </w:t>
      </w:r>
      <w:r w:rsidR="00BB374A">
        <w:t>without valuing one form of communication above others</w:t>
      </w:r>
      <w:r w:rsidR="00BB374A">
        <w:t xml:space="preserve">. </w:t>
      </w:r>
      <w:r>
        <w:t>Individuals may use a different combination for expressive communication and receptive communication.</w:t>
      </w:r>
    </w:p>
    <w:p w:rsidR="00EF73CC" w:rsidP="00665DF3" w:rsidRDefault="00EE5D9D" w14:paraId="4D9C9C65" w14:textId="77777777">
      <w:pPr>
        <w:pStyle w:val="ListParagraph"/>
        <w:numPr>
          <w:ilvl w:val="0"/>
          <w:numId w:val="1"/>
        </w:numPr>
        <w:rPr>
          <w:b/>
          <w:bCs/>
          <w:color w:val="0070C0"/>
        </w:rPr>
      </w:pPr>
      <w:r w:rsidRPr="00360556">
        <w:rPr>
          <w:b/>
          <w:bCs/>
          <w:color w:val="0070C0"/>
        </w:rPr>
        <w:t xml:space="preserve">Purpose of Intervention </w:t>
      </w:r>
    </w:p>
    <w:p w:rsidR="00665DF3" w:rsidP="0000429B" w:rsidRDefault="001A32ED" w14:paraId="091EE966" w14:textId="77777777">
      <w:pPr>
        <w:pStyle w:val="ListParagraph"/>
        <w:ind w:left="0"/>
      </w:pPr>
      <w:r>
        <w:t xml:space="preserve">The purpose is to </w:t>
      </w:r>
      <w:r w:rsidR="00525029">
        <w:t xml:space="preserve">increase a child or young person’s </w:t>
      </w:r>
      <w:r w:rsidR="00501F34">
        <w:t xml:space="preserve">connection and </w:t>
      </w:r>
      <w:r w:rsidR="00525029">
        <w:t xml:space="preserve">communication by providing multimodal methods, it </w:t>
      </w:r>
      <w:r w:rsidR="00BB374A">
        <w:t>aims to create a communication-rich</w:t>
      </w:r>
      <w:r w:rsidR="00A04D2B">
        <w:t xml:space="preserve"> </w:t>
      </w:r>
      <w:r w:rsidR="00360556">
        <w:t>environment</w:t>
      </w:r>
      <w:r w:rsidR="00BB374A">
        <w:t xml:space="preserve">. </w:t>
      </w:r>
      <w:r w:rsidR="00EF73CC">
        <w:t xml:space="preserve">Examples of different types of communication include: </w:t>
      </w:r>
    </w:p>
    <w:p w:rsidR="00665DF3" w:rsidP="0000429B" w:rsidRDefault="00EF73CC" w14:paraId="6DF7F056" w14:textId="77777777">
      <w:pPr>
        <w:pStyle w:val="ListParagraph"/>
        <w:ind w:left="0"/>
      </w:pPr>
      <w:r w:rsidRPr="00665DF3">
        <w:rPr>
          <w:b/>
          <w:bCs/>
        </w:rPr>
        <w:t>Non-verbal</w:t>
      </w:r>
      <w:r>
        <w:t xml:space="preserve"> </w:t>
      </w:r>
      <w:r w:rsidR="00200581">
        <w:t>(</w:t>
      </w:r>
      <w:r>
        <w:t>body movements,</w:t>
      </w:r>
      <w:r w:rsidR="00665DF3">
        <w:t xml:space="preserve"> gestures, expressions</w:t>
      </w:r>
      <w:r>
        <w:t xml:space="preserve"> eye pointing, breathing patterns, textures, smells, temperature, intensive interaction, routine</w:t>
      </w:r>
      <w:r w:rsidR="00200581">
        <w:t>).</w:t>
      </w:r>
    </w:p>
    <w:p w:rsidR="00665DF3" w:rsidP="0000429B" w:rsidRDefault="00EF73CC" w14:paraId="12B2B04B" w14:textId="77777777">
      <w:pPr>
        <w:pStyle w:val="ListParagraph"/>
        <w:ind w:left="0"/>
      </w:pPr>
      <w:r w:rsidRPr="00665DF3">
        <w:rPr>
          <w:b/>
          <w:bCs/>
        </w:rPr>
        <w:t>Language-base</w:t>
      </w:r>
      <w:r w:rsidRPr="00665DF3" w:rsidR="00200581">
        <w:rPr>
          <w:b/>
          <w:bCs/>
        </w:rPr>
        <w:t>d</w:t>
      </w:r>
      <w:r>
        <w:t xml:space="preserve"> </w:t>
      </w:r>
      <w:r w:rsidR="00200581">
        <w:t>(</w:t>
      </w:r>
      <w:r>
        <w:t>speech,</w:t>
      </w:r>
      <w:r w:rsidR="00665DF3">
        <w:t xml:space="preserve"> written language,</w:t>
      </w:r>
      <w:r>
        <w:t xml:space="preserve"> lip reading, large print, braille, sign systems (British Sign Language, Makaton), Tadoma, deafblind manual alphabet and block alphabet</w:t>
      </w:r>
      <w:r w:rsidR="00200581">
        <w:t>)</w:t>
      </w:r>
      <w:r>
        <w:t xml:space="preserve">. </w:t>
      </w:r>
    </w:p>
    <w:p w:rsidRPr="00665DF3" w:rsidR="003D4706" w:rsidP="0000429B" w:rsidRDefault="00EF73CC" w14:paraId="528C650D" w14:textId="3A7E19DB">
      <w:pPr>
        <w:pStyle w:val="ListParagraph"/>
        <w:ind w:left="0"/>
      </w:pPr>
      <w:r w:rsidRPr="00665DF3">
        <w:rPr>
          <w:b/>
          <w:bCs/>
        </w:rPr>
        <w:t>Symbol Systems</w:t>
      </w:r>
      <w:r>
        <w:t xml:space="preserve"> </w:t>
      </w:r>
      <w:r w:rsidR="00200581">
        <w:t>(</w:t>
      </w:r>
      <w:r>
        <w:t>objects of reference, Picture Exchange Communication Systems (PECS), pictures and photographs</w:t>
      </w:r>
      <w:r w:rsidR="00665DF3">
        <w:t xml:space="preserve">, </w:t>
      </w:r>
      <w:r w:rsidRPr="00593053" w:rsidR="00665DF3">
        <w:t xml:space="preserve">augmentative and alternative communication (AAC) </w:t>
      </w:r>
      <w:r w:rsidR="00665DF3">
        <w:t>tools</w:t>
      </w:r>
      <w:r>
        <w:t xml:space="preserve"> and commercially available options such as </w:t>
      </w:r>
      <w:proofErr w:type="spellStart"/>
      <w:r>
        <w:t>Widgit</w:t>
      </w:r>
      <w:proofErr w:type="spellEnd"/>
      <w:r>
        <w:t>, Bliss and Mayer-Johnson</w:t>
      </w:r>
      <w:r w:rsidR="00200581">
        <w:t>)</w:t>
      </w:r>
      <w:r>
        <w:t xml:space="preserve">. </w:t>
      </w:r>
    </w:p>
    <w:p w:rsidRPr="00360556" w:rsidR="00EE5D9D" w:rsidP="00665DF3" w:rsidRDefault="00EE5D9D" w14:paraId="56A54B6C" w14:textId="17CC6FCB">
      <w:pPr>
        <w:pStyle w:val="ListParagraph"/>
        <w:numPr>
          <w:ilvl w:val="0"/>
          <w:numId w:val="1"/>
        </w:numPr>
        <w:rPr>
          <w:b/>
          <w:bCs/>
          <w:color w:val="0070C0"/>
        </w:rPr>
      </w:pPr>
      <w:r w:rsidRPr="00360556">
        <w:rPr>
          <w:b/>
          <w:bCs/>
          <w:color w:val="0070C0"/>
        </w:rPr>
        <w:t xml:space="preserve">Target Audience </w:t>
      </w:r>
    </w:p>
    <w:p w:rsidR="000B67DB" w:rsidP="0000429B" w:rsidRDefault="000B67DB" w14:paraId="1FBFCF44" w14:textId="61A1FC42">
      <w:pPr>
        <w:pStyle w:val="ListParagraph"/>
        <w:ind w:left="0"/>
      </w:pPr>
      <w:r>
        <w:t xml:space="preserve">Total communication was originally developed </w:t>
      </w:r>
      <w:r w:rsidR="003523BE">
        <w:t xml:space="preserve">to support </w:t>
      </w:r>
      <w:r w:rsidR="0071475B">
        <w:t>deaf children in</w:t>
      </w:r>
      <w:r w:rsidR="003523BE">
        <w:t xml:space="preserve"> education</w:t>
      </w:r>
      <w:r w:rsidR="00E64EE1">
        <w:t xml:space="preserve">, however it is now </w:t>
      </w:r>
      <w:r w:rsidR="00165664">
        <w:t xml:space="preserve">used more broadly to </w:t>
      </w:r>
      <w:r w:rsidR="00E64EE1">
        <w:t xml:space="preserve">support </w:t>
      </w:r>
      <w:r w:rsidR="00165664">
        <w:t xml:space="preserve">children and young people with communication difficulties, such as those </w:t>
      </w:r>
      <w:r w:rsidR="00E64EE1">
        <w:t>with autism spectrum disorder (ASD</w:t>
      </w:r>
      <w:r w:rsidR="00360556">
        <w:t xml:space="preserve">). </w:t>
      </w:r>
      <w:r w:rsidR="003523BE">
        <w:t xml:space="preserve"> </w:t>
      </w:r>
    </w:p>
    <w:p w:rsidRPr="00360556" w:rsidR="00EE5D9D" w:rsidP="00665DF3" w:rsidRDefault="00EE5D9D" w14:paraId="50485570" w14:textId="79CC57E6">
      <w:pPr>
        <w:pStyle w:val="ListParagraph"/>
        <w:numPr>
          <w:ilvl w:val="0"/>
          <w:numId w:val="1"/>
        </w:numPr>
        <w:rPr>
          <w:b/>
          <w:bCs/>
          <w:color w:val="0070C0"/>
        </w:rPr>
      </w:pPr>
      <w:r w:rsidRPr="00360556">
        <w:rPr>
          <w:b/>
          <w:bCs/>
          <w:color w:val="0070C0"/>
        </w:rPr>
        <w:t xml:space="preserve">Who Can Deliver the Intervention </w:t>
      </w:r>
    </w:p>
    <w:p w:rsidR="00732800" w:rsidP="0000429B" w:rsidRDefault="00732800" w14:paraId="11364D1E" w14:textId="7951F78A">
      <w:pPr>
        <w:pStyle w:val="ListParagraph"/>
        <w:ind w:left="0"/>
      </w:pPr>
      <w:r>
        <w:t>Any</w:t>
      </w:r>
      <w:r w:rsidR="00665DF3">
        <w:t xml:space="preserve">one </w:t>
      </w:r>
      <w:r>
        <w:t>who interact</w:t>
      </w:r>
      <w:r w:rsidR="00A53584">
        <w:t>s</w:t>
      </w:r>
      <w:r>
        <w:t xml:space="preserve"> with children and young people can use </w:t>
      </w:r>
      <w:r w:rsidR="00665DF3">
        <w:t xml:space="preserve">the </w:t>
      </w:r>
      <w:r>
        <w:t>approach, including teachers, Learning Support Assistants, pastoral staff, parents and other professionals</w:t>
      </w:r>
      <w:r w:rsidR="00665DF3">
        <w:t>, it</w:t>
      </w:r>
      <w:r w:rsidR="00664DBD">
        <w:t xml:space="preserve"> should be embedded into school life. </w:t>
      </w:r>
      <w:r w:rsidR="00C86256">
        <w:t xml:space="preserve">Staff may need training and support to understand communication differences and effectively implement a total communication approach. </w:t>
      </w:r>
    </w:p>
    <w:p w:rsidRPr="002E7F46" w:rsidR="003031D5" w:rsidP="00665DF3" w:rsidRDefault="00EE5D9D" w14:paraId="6011FC75" w14:textId="77777777">
      <w:pPr>
        <w:pStyle w:val="ListParagraph"/>
        <w:numPr>
          <w:ilvl w:val="0"/>
          <w:numId w:val="1"/>
        </w:numPr>
        <w:rPr>
          <w:b/>
          <w:bCs/>
          <w:color w:val="0070C0"/>
        </w:rPr>
      </w:pPr>
      <w:r w:rsidRPr="002E7F46">
        <w:rPr>
          <w:b/>
          <w:bCs/>
          <w:color w:val="0070C0"/>
        </w:rPr>
        <w:t xml:space="preserve">Session Structure </w:t>
      </w:r>
    </w:p>
    <w:p w:rsidRPr="003031D5" w:rsidR="008B6F0C" w:rsidP="0000429B" w:rsidRDefault="008B6F0C" w14:paraId="2B90B72A" w14:textId="6BC89D09">
      <w:pPr>
        <w:pStyle w:val="ListParagraph"/>
        <w:ind w:left="0"/>
        <w:rPr>
          <w:b/>
          <w:bCs/>
        </w:rPr>
      </w:pPr>
      <w:r>
        <w:t>Total Communication does not have fixed sessions</w:t>
      </w:r>
      <w:r w:rsidR="003031D5">
        <w:t xml:space="preserve"> and should be used throughout interactions. However, </w:t>
      </w:r>
      <w:r>
        <w:t xml:space="preserve">distributed practice </w:t>
      </w:r>
      <w:r w:rsidR="00BA6154">
        <w:t xml:space="preserve">(interactive games, role-play, structured teaching) </w:t>
      </w:r>
      <w:r w:rsidR="00441C25">
        <w:t>and utilising natural opportunities</w:t>
      </w:r>
      <w:r w:rsidR="00BA6154">
        <w:t xml:space="preserve"> (modelling, snack time, choosing activities)</w:t>
      </w:r>
      <w:r w:rsidR="00441C25">
        <w:t xml:space="preserve"> </w:t>
      </w:r>
      <w:r>
        <w:t>can be helpful to introduce new method</w:t>
      </w:r>
      <w:r w:rsidR="003031D5">
        <w:t>s</w:t>
      </w:r>
      <w:r w:rsidR="00BA6154">
        <w:t>. T</w:t>
      </w:r>
      <w:r w:rsidR="003031D5">
        <w:t>here should be a focus on c</w:t>
      </w:r>
      <w:r w:rsidR="003031D5">
        <w:t>reating a positive environment for communication</w:t>
      </w:r>
      <w:r w:rsidR="00C90759">
        <w:t xml:space="preserve"> (</w:t>
      </w:r>
      <w:r w:rsidR="003031D5">
        <w:t>changing the lighting, reducing background noise, moving to a good position for seeing and hearing, reducing clutter and distractions</w:t>
      </w:r>
      <w:r w:rsidR="00C90759">
        <w:t>)</w:t>
      </w:r>
      <w:r w:rsidR="003031D5">
        <w:t xml:space="preserve">. </w:t>
      </w:r>
    </w:p>
    <w:p w:rsidRPr="00104D73" w:rsidR="00EE5D9D" w:rsidP="00665DF3" w:rsidRDefault="00EE5D9D" w14:paraId="3DAA6956" w14:textId="42902804">
      <w:pPr>
        <w:pStyle w:val="ListParagraph"/>
        <w:numPr>
          <w:ilvl w:val="0"/>
          <w:numId w:val="1"/>
        </w:numPr>
        <w:rPr>
          <w:b/>
          <w:bCs/>
          <w:color w:val="0070C0"/>
        </w:rPr>
      </w:pPr>
      <w:r w:rsidRPr="00104D73">
        <w:rPr>
          <w:b/>
          <w:bCs/>
          <w:color w:val="0070C0"/>
        </w:rPr>
        <w:t xml:space="preserve">Frequency and Duration </w:t>
      </w:r>
    </w:p>
    <w:p w:rsidR="008E122E" w:rsidP="0000429B" w:rsidRDefault="00854892" w14:paraId="1E9AD44F" w14:textId="6D488C89">
      <w:pPr>
        <w:pStyle w:val="ListParagraph"/>
        <w:ind w:left="0"/>
      </w:pPr>
      <w:r>
        <w:t xml:space="preserve">Total communication approaches </w:t>
      </w:r>
      <w:r w:rsidR="00DB18BB">
        <w:t>require</w:t>
      </w:r>
      <w:r>
        <w:t xml:space="preserve"> </w:t>
      </w:r>
      <w:r w:rsidR="00252EFD">
        <w:t>embedded</w:t>
      </w:r>
      <w:r>
        <w:t xml:space="preserve"> c</w:t>
      </w:r>
      <w:r w:rsidR="008E122E">
        <w:t>onsistency and repetition</w:t>
      </w:r>
      <w:r w:rsidR="002F1DA7">
        <w:t xml:space="preserve">, </w:t>
      </w:r>
      <w:r w:rsidR="008D71A9">
        <w:t xml:space="preserve">daily </w:t>
      </w:r>
      <w:r w:rsidR="00A576E4">
        <w:t>practice</w:t>
      </w:r>
      <w:r w:rsidR="00272318">
        <w:t>, and continued monitoring and adaption, rather than time-limited sessions</w:t>
      </w:r>
      <w:r>
        <w:t xml:space="preserve">. </w:t>
      </w:r>
      <w:r w:rsidR="00B53734">
        <w:t xml:space="preserve">The duration of practice sessions should be determined in line with developing attention skills, as assessed by setting staff. </w:t>
      </w:r>
    </w:p>
    <w:p w:rsidR="00200581" w:rsidP="00665DF3" w:rsidRDefault="00EE5D9D" w14:paraId="7EA15755" w14:textId="77777777">
      <w:pPr>
        <w:pStyle w:val="ListParagraph"/>
        <w:numPr>
          <w:ilvl w:val="0"/>
          <w:numId w:val="1"/>
        </w:numPr>
        <w:rPr>
          <w:b/>
          <w:bCs/>
          <w:color w:val="0070C0"/>
        </w:rPr>
      </w:pPr>
      <w:r w:rsidRPr="00EF73CC">
        <w:rPr>
          <w:b/>
          <w:bCs/>
          <w:color w:val="0070C0"/>
        </w:rPr>
        <w:lastRenderedPageBreak/>
        <w:t>Key Principles</w:t>
      </w:r>
    </w:p>
    <w:p w:rsidR="00DB18BB" w:rsidP="0000429B" w:rsidRDefault="006973E8" w14:paraId="3FCACFA7" w14:textId="6FD7F47D">
      <w:pPr>
        <w:pStyle w:val="ListParagraph"/>
        <w:ind w:left="0"/>
      </w:pPr>
      <w:r w:rsidRPr="00200581">
        <w:rPr>
          <w:b/>
          <w:bCs/>
        </w:rPr>
        <w:t>Multimodal Methods</w:t>
      </w:r>
      <w:r>
        <w:t xml:space="preserve">: </w:t>
      </w:r>
      <w:r w:rsidR="002354B9">
        <w:t xml:space="preserve">Using </w:t>
      </w:r>
      <w:r w:rsidR="00DB18BB">
        <w:t>all methods</w:t>
      </w:r>
      <w:r w:rsidR="00FE32FD">
        <w:t xml:space="preserve"> consistently throughout the day. Having visual timetable</w:t>
      </w:r>
      <w:r w:rsidR="00AF33FC">
        <w:t>s</w:t>
      </w:r>
      <w:r w:rsidR="00FE32FD">
        <w:t>, communication boards</w:t>
      </w:r>
      <w:r w:rsidR="00AF33FC">
        <w:t xml:space="preserve">, symbol banks, </w:t>
      </w:r>
      <w:r w:rsidR="00FE32FD">
        <w:t xml:space="preserve">core </w:t>
      </w:r>
      <w:r w:rsidR="00CE2620">
        <w:t>boards</w:t>
      </w:r>
      <w:r w:rsidR="00FE32FD">
        <w:t xml:space="preserve"> </w:t>
      </w:r>
      <w:r w:rsidR="00AF33FC">
        <w:t xml:space="preserve">etc. </w:t>
      </w:r>
      <w:r w:rsidR="00FE32FD">
        <w:t xml:space="preserve">available </w:t>
      </w:r>
      <w:r w:rsidR="00AF33FC">
        <w:t xml:space="preserve">across </w:t>
      </w:r>
      <w:r w:rsidR="00292D96">
        <w:t>the setting</w:t>
      </w:r>
      <w:r w:rsidR="00FE32FD">
        <w:t xml:space="preserve">. </w:t>
      </w:r>
      <w:r w:rsidR="00DB18BB">
        <w:t>Th</w:t>
      </w:r>
      <w:r w:rsidR="0009508D">
        <w:t>e goal is functional communication</w:t>
      </w:r>
      <w:r w:rsidR="00292D96">
        <w:t xml:space="preserve">, </w:t>
      </w:r>
      <w:r w:rsidR="00D820CD">
        <w:t>l</w:t>
      </w:r>
      <w:r w:rsidR="00D820CD">
        <w:t xml:space="preserve">eave pauses to allow them the best chance to respond. </w:t>
      </w:r>
    </w:p>
    <w:p w:rsidR="00DB18BB" w:rsidP="0000429B" w:rsidRDefault="006973E8" w14:paraId="58D3582A" w14:textId="77777777">
      <w:pPr>
        <w:pStyle w:val="ListParagraph"/>
        <w:ind w:left="0"/>
      </w:pPr>
      <w:r w:rsidRPr="00200581">
        <w:rPr>
          <w:b/>
          <w:bCs/>
        </w:rPr>
        <w:t>Individualisation and Person-centred</w:t>
      </w:r>
      <w:r>
        <w:t xml:space="preserve">: </w:t>
      </w:r>
      <w:r w:rsidR="00CE2620">
        <w:t xml:space="preserve">Assessing preferred communication methods and strengths, creating individual communication passports, </w:t>
      </w:r>
      <w:r w:rsidR="005A35DB">
        <w:t xml:space="preserve">collaborating with families and professionals. </w:t>
      </w:r>
    </w:p>
    <w:p w:rsidR="00DB18BB" w:rsidP="0000429B" w:rsidRDefault="006973E8" w14:paraId="397BD673" w14:textId="77777777">
      <w:pPr>
        <w:pStyle w:val="ListParagraph"/>
        <w:ind w:left="0"/>
      </w:pPr>
      <w:r w:rsidRPr="00200581">
        <w:rPr>
          <w:b/>
          <w:bCs/>
        </w:rPr>
        <w:t>Embedded in daily routine:</w:t>
      </w:r>
      <w:r>
        <w:t xml:space="preserve"> </w:t>
      </w:r>
      <w:r w:rsidR="005A35DB">
        <w:t>Using the approach during</w:t>
      </w:r>
      <w:r w:rsidR="009C37CE">
        <w:t xml:space="preserve"> every</w:t>
      </w:r>
      <w:r w:rsidR="005A35DB">
        <w:t xml:space="preserve"> </w:t>
      </w:r>
      <w:r>
        <w:t>transition</w:t>
      </w:r>
      <w:r w:rsidR="005A35DB">
        <w:t>, lesson, playtime and mealtime.</w:t>
      </w:r>
      <w:r w:rsidR="009C37CE">
        <w:t xml:space="preserve"> Modelling consistently, for example say, sign and show each time. </w:t>
      </w:r>
      <w:r w:rsidR="00784204">
        <w:t>Share approaches will all staff, including teachers, learning support assistants, lunchtime</w:t>
      </w:r>
      <w:r w:rsidR="004828EF">
        <w:t xml:space="preserve"> and families </w:t>
      </w:r>
      <w:r w:rsidR="0009508D">
        <w:t>to reinforce at home</w:t>
      </w:r>
      <w:r w:rsidR="00784204">
        <w:t>.</w:t>
      </w:r>
      <w:r w:rsidR="00200581">
        <w:t xml:space="preserve"> </w:t>
      </w:r>
    </w:p>
    <w:p w:rsidR="00DB18BB" w:rsidP="0000429B" w:rsidRDefault="00784204" w14:paraId="2377DC72" w14:textId="274DBC9C">
      <w:pPr>
        <w:pStyle w:val="ListParagraph"/>
        <w:ind w:left="0"/>
      </w:pPr>
      <w:r w:rsidRPr="00200581">
        <w:rPr>
          <w:b/>
          <w:bCs/>
        </w:rPr>
        <w:t>Monitor and Adapt</w:t>
      </w:r>
      <w:r w:rsidRPr="00200581" w:rsidR="00D820CD">
        <w:rPr>
          <w:b/>
          <w:bCs/>
        </w:rPr>
        <w:t>:</w:t>
      </w:r>
      <w:r w:rsidR="00D820CD">
        <w:t xml:space="preserve"> </w:t>
      </w:r>
      <w:r w:rsidR="00D76E0E">
        <w:t xml:space="preserve">Use monitoring frameworks to </w:t>
      </w:r>
      <w:r w:rsidR="004828EF">
        <w:t>record</w:t>
      </w:r>
      <w:r w:rsidR="00D76E0E">
        <w:t xml:space="preserve"> development. </w:t>
      </w:r>
      <w:r w:rsidR="004828EF">
        <w:t>Set clear goals and adjust strategies based on progress.</w:t>
      </w:r>
      <w:r w:rsidR="00200581">
        <w:t xml:space="preserve"> </w:t>
      </w:r>
    </w:p>
    <w:p w:rsidRPr="00200581" w:rsidR="00441C25" w:rsidP="0000429B" w:rsidRDefault="0009508D" w14:paraId="6F6FB3E5" w14:textId="6A65375F">
      <w:pPr>
        <w:pStyle w:val="ListParagraph"/>
        <w:ind w:left="0"/>
        <w:rPr>
          <w:b/>
          <w:bCs/>
          <w:color w:val="0070C0"/>
        </w:rPr>
      </w:pPr>
      <w:r w:rsidRPr="00200581">
        <w:rPr>
          <w:b/>
          <w:bCs/>
        </w:rPr>
        <w:t>Autonomy and Inclusion</w:t>
      </w:r>
      <w:r w:rsidRPr="00200581" w:rsidR="00D820CD">
        <w:rPr>
          <w:b/>
          <w:bCs/>
        </w:rPr>
        <w:t>:</w:t>
      </w:r>
      <w:r>
        <w:t xml:space="preserve"> </w:t>
      </w:r>
      <w:r w:rsidR="00D25452">
        <w:t>E</w:t>
      </w:r>
      <w:r w:rsidR="00D820CD">
        <w:t>ncourage choice-making, celebrate all communication equally</w:t>
      </w:r>
      <w:r w:rsidR="00D25452">
        <w:t xml:space="preserve"> and </w:t>
      </w:r>
      <w:r w:rsidR="00D820CD">
        <w:t xml:space="preserve">find ways to ensure participation in all aspects of school life. </w:t>
      </w:r>
    </w:p>
    <w:p w:rsidRPr="00200581" w:rsidR="00A92D4C" w:rsidP="00665DF3" w:rsidRDefault="00A92D4C" w14:paraId="2F6AF89A" w14:textId="137CA05C">
      <w:pPr>
        <w:pStyle w:val="ListParagraph"/>
        <w:numPr>
          <w:ilvl w:val="0"/>
          <w:numId w:val="1"/>
        </w:numPr>
        <w:rPr>
          <w:b/>
          <w:bCs/>
          <w:color w:val="0070C0"/>
        </w:rPr>
      </w:pPr>
      <w:r w:rsidRPr="00200581">
        <w:rPr>
          <w:b/>
          <w:bCs/>
          <w:color w:val="0070C0"/>
        </w:rPr>
        <w:t>Training and Implementation</w:t>
      </w:r>
    </w:p>
    <w:p w:rsidR="00441C25" w:rsidP="0000429B" w:rsidRDefault="00D25452" w14:paraId="7D0A2E91" w14:textId="73D7FDCC">
      <w:pPr>
        <w:pStyle w:val="ListParagraph"/>
        <w:ind w:left="0"/>
      </w:pPr>
      <w:r>
        <w:t>Anyone can</w:t>
      </w:r>
      <w:r w:rsidR="00441C25">
        <w:t xml:space="preserve"> apply the principles of Total Communication in their daily interactions with children and young people with communication needs. </w:t>
      </w:r>
      <w:r w:rsidR="00B30883">
        <w:t xml:space="preserve">A more in-depth implementation could </w:t>
      </w:r>
      <w:r w:rsidR="00282661">
        <w:t>be provided by staff who have received training in speech and language intervention</w:t>
      </w:r>
      <w:r w:rsidR="000F24CC">
        <w:t>s</w:t>
      </w:r>
      <w:r w:rsidR="00282661">
        <w:t xml:space="preserve">, </w:t>
      </w:r>
      <w:r w:rsidR="00B30883">
        <w:t xml:space="preserve">and </w:t>
      </w:r>
      <w:r w:rsidR="00282661">
        <w:t xml:space="preserve">who are provided with time for </w:t>
      </w:r>
      <w:r w:rsidR="00B30883">
        <w:t>ongoing CPD around Total Communication</w:t>
      </w:r>
      <w:r w:rsidR="00187828">
        <w:t xml:space="preserve">, for example taking part in reflective practice to consider </w:t>
      </w:r>
      <w:r>
        <w:t>the</w:t>
      </w:r>
      <w:r w:rsidR="00187828">
        <w:t xml:space="preserve"> impact of the approach and areas for development</w:t>
      </w:r>
      <w:r w:rsidR="00B30883">
        <w:t>.</w:t>
      </w:r>
      <w:r w:rsidR="00441C25">
        <w:t xml:space="preserve"> </w:t>
      </w:r>
    </w:p>
    <w:p w:rsidRPr="00665DF3" w:rsidR="00A92D4C" w:rsidP="00665DF3" w:rsidRDefault="00A92D4C" w14:paraId="14A54D66" w14:textId="21854BC8">
      <w:pPr>
        <w:pStyle w:val="ListParagraph"/>
        <w:numPr>
          <w:ilvl w:val="0"/>
          <w:numId w:val="1"/>
        </w:numPr>
        <w:rPr>
          <w:b/>
          <w:bCs/>
          <w:color w:val="0070C0"/>
        </w:rPr>
      </w:pPr>
      <w:r w:rsidRPr="00665DF3">
        <w:rPr>
          <w:b/>
          <w:bCs/>
          <w:color w:val="0070C0"/>
        </w:rPr>
        <w:t xml:space="preserve">Evidence and Outcomes </w:t>
      </w:r>
    </w:p>
    <w:p w:rsidR="009E682B" w:rsidP="0000429B" w:rsidRDefault="00187828" w14:paraId="7BDC258E" w14:textId="68672FA8">
      <w:pPr>
        <w:pStyle w:val="ListParagraph"/>
        <w:ind w:left="0"/>
      </w:pPr>
      <w:r>
        <w:t>Total Communication is grounded in theory from psychology</w:t>
      </w:r>
      <w:r w:rsidR="0086077D">
        <w:t>, linguistics</w:t>
      </w:r>
      <w:r>
        <w:t xml:space="preserve"> and speech and language therapy, </w:t>
      </w:r>
      <w:r w:rsidR="0086077D">
        <w:t>includ</w:t>
      </w:r>
      <w:r w:rsidR="00D25452">
        <w:t>ing</w:t>
      </w:r>
      <w:r w:rsidR="0086077D">
        <w:t xml:space="preserve"> those on language and cognitive development and processing. </w:t>
      </w:r>
      <w:r w:rsidR="00A441C2">
        <w:t xml:space="preserve">Research shows improvement </w:t>
      </w:r>
      <w:r w:rsidR="00B30543">
        <w:t>in</w:t>
      </w:r>
      <w:r w:rsidR="00027E84">
        <w:t xml:space="preserve"> o</w:t>
      </w:r>
      <w:r w:rsidR="0044412E">
        <w:t xml:space="preserve">verall language </w:t>
      </w:r>
      <w:r w:rsidR="00027E84">
        <w:t>development, m</w:t>
      </w:r>
      <w:r w:rsidR="0044412E">
        <w:t>ean length of utterances</w:t>
      </w:r>
      <w:r w:rsidR="00027E84">
        <w:t>, n</w:t>
      </w:r>
      <w:r w:rsidR="0044412E">
        <w:t>umber of propositions</w:t>
      </w:r>
      <w:r w:rsidR="00027E84">
        <w:t>, v</w:t>
      </w:r>
      <w:r w:rsidR="0044412E">
        <w:t>ocal responses</w:t>
      </w:r>
      <w:r w:rsidR="00027E84">
        <w:t>, a</w:t>
      </w:r>
      <w:r w:rsidR="0044412E">
        <w:t>uditory/</w:t>
      </w:r>
      <w:r w:rsidR="00027E84">
        <w:t>s</w:t>
      </w:r>
      <w:r w:rsidR="0044412E">
        <w:t>peech perception</w:t>
      </w:r>
      <w:r w:rsidR="00027E84">
        <w:t>, a</w:t>
      </w:r>
      <w:r w:rsidR="0044412E">
        <w:t xml:space="preserve">cademic </w:t>
      </w:r>
      <w:r w:rsidR="00027E84">
        <w:t>p</w:t>
      </w:r>
      <w:r w:rsidR="0044412E">
        <w:t>erformance</w:t>
      </w:r>
      <w:r w:rsidR="00027E84">
        <w:t xml:space="preserve"> and s</w:t>
      </w:r>
      <w:r w:rsidR="0044412E">
        <w:t xml:space="preserve">ocial </w:t>
      </w:r>
      <w:r w:rsidR="00206831">
        <w:t>integration</w:t>
      </w:r>
      <w:r w:rsidR="00027E84">
        <w:t xml:space="preserve">. </w:t>
      </w:r>
      <w:r w:rsidR="00206831">
        <w:t>The approach is w</w:t>
      </w:r>
      <w:r w:rsidR="009E682B">
        <w:t xml:space="preserve">idely used in </w:t>
      </w:r>
      <w:r w:rsidR="00D16BB6">
        <w:t xml:space="preserve">mainstream and specialist settings and </w:t>
      </w:r>
      <w:r w:rsidR="009E682B">
        <w:t xml:space="preserve">endorsed by the charity </w:t>
      </w:r>
      <w:r w:rsidR="00884A4A">
        <w:t>‘</w:t>
      </w:r>
      <w:r w:rsidR="009E682B">
        <w:t>S</w:t>
      </w:r>
      <w:r w:rsidR="00C648AA">
        <w:t>ense</w:t>
      </w:r>
      <w:r w:rsidR="00884A4A">
        <w:t>’</w:t>
      </w:r>
      <w:r w:rsidR="009E682B">
        <w:t xml:space="preserve">. </w:t>
      </w:r>
    </w:p>
    <w:p w:rsidR="0000429B" w:rsidP="0000429B" w:rsidRDefault="00A92D4C" w14:paraId="049AD27F" w14:textId="77777777">
      <w:pPr>
        <w:pStyle w:val="ListParagraph"/>
        <w:numPr>
          <w:ilvl w:val="0"/>
          <w:numId w:val="1"/>
        </w:numPr>
        <w:rPr>
          <w:b/>
          <w:bCs/>
          <w:color w:val="0070C0"/>
        </w:rPr>
      </w:pPr>
      <w:r w:rsidRPr="00665DF3">
        <w:rPr>
          <w:b/>
          <w:bCs/>
          <w:color w:val="0070C0"/>
        </w:rPr>
        <w:t xml:space="preserve">Pupil Feedback </w:t>
      </w:r>
    </w:p>
    <w:p w:rsidRPr="0000429B" w:rsidR="004B032D" w:rsidP="0000429B" w:rsidRDefault="00473920" w14:paraId="7B6FAF19" w14:textId="4289F581">
      <w:pPr>
        <w:pStyle w:val="ListParagraph"/>
        <w:ind w:left="0"/>
        <w:rPr>
          <w:b/>
          <w:bCs/>
          <w:color w:val="0070C0"/>
        </w:rPr>
      </w:pPr>
      <w:r>
        <w:t>Research has found collaboratively delivered Total Comm</w:t>
      </w:r>
      <w:r w:rsidR="00194632">
        <w:t>unication</w:t>
      </w:r>
      <w:r w:rsidR="00547066">
        <w:t xml:space="preserve"> can increase </w:t>
      </w:r>
      <w:r w:rsidR="000C6DD4">
        <w:t>pupil’s</w:t>
      </w:r>
      <w:r w:rsidR="00547066">
        <w:t xml:space="preserve"> confidenc</w:t>
      </w:r>
      <w:r w:rsidR="000C6DD4">
        <w:t xml:space="preserve">e and enthusiasm. </w:t>
      </w:r>
      <w:r w:rsidR="004B032D">
        <w:t xml:space="preserve">Where possible, you should include feedback from pupils and families in all monitoring and evaluation of the approach. </w:t>
      </w:r>
    </w:p>
    <w:p w:rsidR="0000429B" w:rsidRDefault="0000429B" w14:paraId="099EFE01" w14:textId="77777777">
      <w:pPr>
        <w:rPr>
          <w:b/>
          <w:bCs/>
          <w:color w:val="0070C0"/>
        </w:rPr>
      </w:pPr>
      <w:r>
        <w:rPr>
          <w:b/>
          <w:bCs/>
          <w:color w:val="0070C0"/>
        </w:rPr>
        <w:br w:type="page"/>
      </w:r>
    </w:p>
    <w:p w:rsidRPr="0000429B" w:rsidR="001C114F" w:rsidP="0000429B" w:rsidRDefault="00A92D4C" w14:paraId="3AFE51F9" w14:textId="40A4B420">
      <w:pPr>
        <w:rPr>
          <w:b/>
          <w:bCs/>
          <w:color w:val="0070C0"/>
        </w:rPr>
      </w:pPr>
      <w:r w:rsidRPr="0000429B">
        <w:rPr>
          <w:b/>
          <w:bCs/>
          <w:color w:val="0070C0"/>
        </w:rPr>
        <w:lastRenderedPageBreak/>
        <w:t>Further Information</w:t>
      </w:r>
      <w:r w:rsidRPr="0000429B" w:rsidR="007378ED">
        <w:rPr>
          <w:b/>
          <w:bCs/>
          <w:color w:val="0070C0"/>
        </w:rPr>
        <w:t xml:space="preserve"> </w:t>
      </w:r>
      <w:r w:rsidRPr="0000429B" w:rsidR="000D7E9F">
        <w:rPr>
          <w:b/>
          <w:bCs/>
          <w:color w:val="0070C0"/>
        </w:rPr>
        <w:t xml:space="preserve">and </w:t>
      </w:r>
      <w:r w:rsidRPr="0000429B">
        <w:rPr>
          <w:b/>
          <w:bCs/>
          <w:color w:val="0070C0"/>
        </w:rPr>
        <w:t>Resources</w:t>
      </w:r>
    </w:p>
    <w:p w:rsidRPr="00C648AA" w:rsidR="00C648AA" w:rsidP="00665DF3" w:rsidRDefault="00C648AA" w14:paraId="0934C380" w14:textId="550C39B6">
      <w:pPr>
        <w:rPr>
          <w:lang w:val="en-US"/>
        </w:rPr>
      </w:pPr>
      <w:r w:rsidRPr="00C648AA">
        <w:rPr>
          <w:lang w:val="en-US"/>
        </w:rPr>
        <w:t xml:space="preserve">Video: </w:t>
      </w:r>
      <w:hyperlink w:history="1" r:id="rId5">
        <w:r w:rsidRPr="00C7777A">
          <w:rPr>
            <w:rStyle w:val="Hyperlink"/>
          </w:rPr>
          <w:t>Total Communication Approach</w:t>
        </w:r>
      </w:hyperlink>
    </w:p>
    <w:p w:rsidRPr="0026255A" w:rsidR="0026255A" w:rsidP="00665DF3" w:rsidRDefault="00C648AA" w14:paraId="26CB3B14" w14:textId="0203206A">
      <w:r>
        <w:t xml:space="preserve">Sense: </w:t>
      </w:r>
      <w:hyperlink w:history="1" r:id="rId6">
        <w:r w:rsidRPr="0026255A" w:rsidR="0026255A">
          <w:rPr>
            <w:rStyle w:val="Hyperlink"/>
          </w:rPr>
          <w:t>Total communication - Sense</w:t>
        </w:r>
      </w:hyperlink>
    </w:p>
    <w:p w:rsidR="00CB518A" w:rsidP="00665DF3" w:rsidRDefault="004817B3" w14:paraId="47145F58" w14:textId="2BEAB771">
      <w:r>
        <w:t xml:space="preserve">Communication in the classroom: </w:t>
      </w:r>
      <w:hyperlink w:history="1" r:id="rId7">
        <w:r w:rsidRPr="00CB518A" w:rsidR="00CB518A">
          <w:rPr>
            <w:rStyle w:val="Hyperlink"/>
          </w:rPr>
          <w:t>A Total Commu</w:t>
        </w:r>
        <w:r w:rsidRPr="00CB518A" w:rsidR="00CB518A">
          <w:rPr>
            <w:rStyle w:val="Hyperlink"/>
          </w:rPr>
          <w:t>n</w:t>
        </w:r>
        <w:r w:rsidRPr="00CB518A" w:rsidR="00CB518A">
          <w:rPr>
            <w:rStyle w:val="Hyperlink"/>
          </w:rPr>
          <w:t>ication Environment — The Springboard Curriculum</w:t>
        </w:r>
      </w:hyperlink>
    </w:p>
    <w:p w:rsidR="000C43F6" w:rsidP="00665DF3" w:rsidRDefault="00EB41C8" w14:paraId="5799321E" w14:textId="14E3AEEB">
      <w:r>
        <w:t xml:space="preserve">How to Create a Total Communication </w:t>
      </w:r>
      <w:r w:rsidR="004817B3">
        <w:t>Environment</w:t>
      </w:r>
      <w:r w:rsidR="00C648AA">
        <w:t xml:space="preserve">: </w:t>
      </w:r>
      <w:hyperlink w:history="1" r:id="rId8">
        <w:r w:rsidRPr="000C43F6" w:rsidR="000C43F6">
          <w:rPr>
            <w:rStyle w:val="Hyperlink"/>
          </w:rPr>
          <w:t xml:space="preserve">Speech Matters Speech </w:t>
        </w:r>
        <w:proofErr w:type="spellStart"/>
        <w:r w:rsidRPr="000C43F6" w:rsidR="000C43F6">
          <w:rPr>
            <w:rStyle w:val="Hyperlink"/>
          </w:rPr>
          <w:t>TherapyHow</w:t>
        </w:r>
        <w:proofErr w:type="spellEnd"/>
        <w:r w:rsidRPr="000C43F6" w:rsidR="000C43F6">
          <w:rPr>
            <w:rStyle w:val="Hyperlink"/>
          </w:rPr>
          <w:t xml:space="preserve"> to Create a Total Communication Environment - Speech Matters Speech Therapy</w:t>
        </w:r>
      </w:hyperlink>
    </w:p>
    <w:p w:rsidRPr="004817B3" w:rsidR="00AA1226" w:rsidP="00665DF3" w:rsidRDefault="00EB41C8" w14:paraId="4A746BB7" w14:textId="128D4301">
      <w:pPr>
        <w:rPr>
          <w:lang w:val="en-US"/>
        </w:rPr>
      </w:pPr>
      <w:r>
        <w:t xml:space="preserve">Suffolk SES Service: </w:t>
      </w:r>
      <w:hyperlink w:history="1" r:id="rId9">
        <w:r w:rsidRPr="00B93EB9" w:rsidR="00AA1226">
          <w:rPr>
            <w:rStyle w:val="Hyperlink"/>
          </w:rPr>
          <w:t>Communication &amp; Interaction (C&amp;I) Service – Suffolk Learning</w:t>
        </w:r>
      </w:hyperlink>
    </w:p>
    <w:p w:rsidRPr="00665DF3" w:rsidR="00FA1A90" w:rsidP="00665DF3" w:rsidRDefault="000D7E9F" w14:paraId="0781EE86" w14:textId="14393266">
      <w:pPr>
        <w:rPr>
          <w:b/>
          <w:bCs/>
          <w:color w:val="0070C0"/>
        </w:rPr>
      </w:pPr>
      <w:r w:rsidRPr="00665DF3">
        <w:rPr>
          <w:b/>
          <w:bCs/>
          <w:color w:val="0070C0"/>
        </w:rPr>
        <w:t xml:space="preserve">References </w:t>
      </w:r>
    </w:p>
    <w:p w:rsidR="00FA1A90" w:rsidP="00665DF3" w:rsidRDefault="00A9352C" w14:paraId="7F1DC561" w14:textId="77777777">
      <w:r w:rsidRPr="00A9352C">
        <w:t>Carbone, V. J., Lewis, L., Sweeney-Kerwin, E. J., Dixon, J., Louden, R., &amp; Quinn, S. (2006). A comparison of two approaches for teaching VB functions: Total communication vs. vocal-</w:t>
      </w:r>
      <w:proofErr w:type="spellStart"/>
      <w:proofErr w:type="gramStart"/>
      <w:r w:rsidRPr="00A9352C">
        <w:t>alone.</w:t>
      </w:r>
      <w:r w:rsidRPr="00FA1A90">
        <w:rPr>
          <w:i/>
          <w:iCs/>
        </w:rPr>
        <w:t>The</w:t>
      </w:r>
      <w:proofErr w:type="spellEnd"/>
      <w:proofErr w:type="gramEnd"/>
      <w:r w:rsidRPr="00FA1A90">
        <w:rPr>
          <w:i/>
          <w:iCs/>
        </w:rPr>
        <w:t xml:space="preserve"> Journal of Speech and Language Pathology – Applied </w:t>
      </w:r>
      <w:proofErr w:type="spellStart"/>
      <w:r w:rsidRPr="00FA1A90">
        <w:rPr>
          <w:i/>
          <w:iCs/>
        </w:rPr>
        <w:t>Behavior</w:t>
      </w:r>
      <w:proofErr w:type="spellEnd"/>
      <w:r w:rsidRPr="00FA1A90">
        <w:rPr>
          <w:i/>
          <w:iCs/>
        </w:rPr>
        <w:t xml:space="preserve"> Analysis, 1</w:t>
      </w:r>
      <w:r w:rsidRPr="00A9352C">
        <w:t xml:space="preserve">(3), 181–192. </w:t>
      </w:r>
      <w:hyperlink w:history="1" r:id="rId10">
        <w:r w:rsidRPr="009A4DEF" w:rsidR="00FF0112">
          <w:rPr>
            <w:rStyle w:val="Hyperlink"/>
          </w:rPr>
          <w:t>https://doi.org/10.1037/h0100199</w:t>
        </w:r>
      </w:hyperlink>
    </w:p>
    <w:p w:rsidR="00FA1A90" w:rsidP="00665DF3" w:rsidRDefault="00FF0112" w14:paraId="14D7870B" w14:textId="240440A3">
      <w:proofErr w:type="spellStart"/>
      <w:r w:rsidRPr="00FF0112">
        <w:t>Luckins</w:t>
      </w:r>
      <w:proofErr w:type="spellEnd"/>
      <w:r w:rsidRPr="00FF0112">
        <w:t xml:space="preserve">, J., Tongue, G., &amp; Clegg, J. (2025). Is the Total Communication approach effective for children with complex speech, language and </w:t>
      </w:r>
      <w:proofErr w:type="spellStart"/>
      <w:r w:rsidRPr="00FF0112">
        <w:t>commun</w:t>
      </w:r>
      <w:r w:rsidR="0056198A">
        <w:t>`</w:t>
      </w:r>
      <w:r w:rsidRPr="00FF0112">
        <w:t>ication</w:t>
      </w:r>
      <w:proofErr w:type="spellEnd"/>
      <w:r w:rsidRPr="00FF0112">
        <w:t xml:space="preserve"> needs? [Review of </w:t>
      </w:r>
      <w:r w:rsidRPr="00FA1A90">
        <w:rPr>
          <w:i/>
          <w:iCs/>
        </w:rPr>
        <w:t>Is the Total Communication approach effective for children with complex speech, language and communication needs?</w:t>
      </w:r>
      <w:r w:rsidRPr="00FF0112">
        <w:t>]. </w:t>
      </w:r>
      <w:r w:rsidRPr="00FA1A90">
        <w:rPr>
          <w:i/>
          <w:iCs/>
        </w:rPr>
        <w:t>Child Language Teaching and Therapy</w:t>
      </w:r>
      <w:r w:rsidRPr="00FF0112">
        <w:t>, </w:t>
      </w:r>
      <w:r w:rsidRPr="00FA1A90">
        <w:rPr>
          <w:i/>
          <w:iCs/>
        </w:rPr>
        <w:t>41</w:t>
      </w:r>
      <w:r w:rsidRPr="00FF0112">
        <w:t xml:space="preserve">(1), 5–29. </w:t>
      </w:r>
      <w:hyperlink w:history="1" r:id="rId11">
        <w:r w:rsidRPr="00FF0112" w:rsidR="001B4F55">
          <w:rPr>
            <w:rStyle w:val="Hyperlink"/>
          </w:rPr>
          <w:t>https://journals.sagepub.com/doi/pdf/10.1177/02656590251315598</w:t>
        </w:r>
      </w:hyperlink>
      <w:r w:rsidR="001B4F55">
        <w:t xml:space="preserve"> </w:t>
      </w:r>
    </w:p>
    <w:p w:rsidR="00FA1A90" w:rsidP="00665DF3" w:rsidRDefault="001B4F55" w14:paraId="22F1602D" w14:textId="77777777">
      <w:r w:rsidRPr="00AE153B">
        <w:t>Masood, F., Chandran, S., Raheem, A., Ahmed, M., Nawaz, S., Rashid, A., Saleem, M., Khan, M., &amp; Sahar, W. (2024). Treatment Efficacy of Total Communication in Hearing Impaired Children [Review of </w:t>
      </w:r>
      <w:r w:rsidRPr="00FA1A90">
        <w:rPr>
          <w:i/>
          <w:iCs/>
        </w:rPr>
        <w:t>Treatment Efficacy of Total Communication in Hearing Impaired Children</w:t>
      </w:r>
      <w:r w:rsidRPr="00AE153B">
        <w:t>]. </w:t>
      </w:r>
      <w:r w:rsidRPr="00FA1A90">
        <w:rPr>
          <w:i/>
          <w:iCs/>
        </w:rPr>
        <w:t>African Journal of Biological Sciences</w:t>
      </w:r>
      <w:r w:rsidRPr="00AE153B">
        <w:t>, </w:t>
      </w:r>
      <w:r w:rsidRPr="00FA1A90">
        <w:rPr>
          <w:i/>
          <w:iCs/>
        </w:rPr>
        <w:t>6</w:t>
      </w:r>
      <w:r w:rsidRPr="00AE153B">
        <w:t xml:space="preserve">(9), 207–217. </w:t>
      </w:r>
      <w:hyperlink w:history="1" r:id="rId12">
        <w:r w:rsidRPr="009A4DEF">
          <w:rPr>
            <w:rStyle w:val="Hyperlink"/>
          </w:rPr>
          <w:t>https://doi.org/10.33472/AFJBS.6.9.2024.207-217</w:t>
        </w:r>
      </w:hyperlink>
      <w:r>
        <w:t xml:space="preserve"> </w:t>
      </w:r>
    </w:p>
    <w:p w:rsidR="00FA1A90" w:rsidP="00665DF3" w:rsidRDefault="00FF0112" w14:paraId="75D19635" w14:textId="77777777">
      <w:r w:rsidRPr="00D54A2A">
        <w:t xml:space="preserve">Mayer, C. (2016). Rethinking total communication: Looking back, moving forward. In M. </w:t>
      </w:r>
      <w:proofErr w:type="spellStart"/>
      <w:r w:rsidRPr="00D54A2A">
        <w:t>Marschark</w:t>
      </w:r>
      <w:proofErr w:type="spellEnd"/>
      <w:r w:rsidRPr="00D54A2A">
        <w:t xml:space="preserve"> &amp; P. E. Spencer (Eds.), </w:t>
      </w:r>
      <w:r w:rsidRPr="00FA1A90">
        <w:rPr>
          <w:i/>
          <w:iCs/>
        </w:rPr>
        <w:t>The Oxford handbook of deaf studies in language</w:t>
      </w:r>
      <w:r w:rsidRPr="00D54A2A">
        <w:t> (pp. 32–44). Oxford University Press.</w:t>
      </w:r>
      <w:r>
        <w:t xml:space="preserve">  </w:t>
      </w:r>
    </w:p>
    <w:p w:rsidR="00FA1A90" w:rsidP="00665DF3" w:rsidRDefault="000D7E9F" w14:paraId="3BBE82F8" w14:textId="77777777">
      <w:r w:rsidRPr="000D7E9F">
        <w:t xml:space="preserve">Mueller, V.T. (2013). Total Communication (TC) Approach. In: Volkmar, F.R. (eds) </w:t>
      </w:r>
      <w:proofErr w:type="spellStart"/>
      <w:r w:rsidRPr="000D7E9F">
        <w:t>Encyclopedia</w:t>
      </w:r>
      <w:proofErr w:type="spellEnd"/>
      <w:r w:rsidRPr="000D7E9F">
        <w:t xml:space="preserve"> of Autism Spectrum Disorders. Springer, New York, NY. </w:t>
      </w:r>
      <w:hyperlink w:history="1" r:id="rId13">
        <w:r w:rsidRPr="009A4DEF" w:rsidR="00D54A2A">
          <w:rPr>
            <w:rStyle w:val="Hyperlink"/>
          </w:rPr>
          <w:t>https://doi.org/10.1007/978-1-4419-1698-3_1708</w:t>
        </w:r>
      </w:hyperlink>
    </w:p>
    <w:p w:rsidR="00907033" w:rsidP="00665DF3" w:rsidRDefault="00907033" w14:paraId="1506B38F" w14:textId="754A3ACB">
      <w:r w:rsidRPr="00FA1A90">
        <w:rPr>
          <w:i/>
          <w:iCs/>
        </w:rPr>
        <w:t>Total communication</w:t>
      </w:r>
      <w:r w:rsidRPr="00907033">
        <w:t>. (</w:t>
      </w:r>
      <w:r>
        <w:t>2022</w:t>
      </w:r>
      <w:r w:rsidRPr="00907033">
        <w:t xml:space="preserve">.). Sense. </w:t>
      </w:r>
      <w:hyperlink w:history="1" r:id="rId14">
        <w:r w:rsidRPr="009A4DEF">
          <w:rPr>
            <w:rStyle w:val="Hyperlink"/>
          </w:rPr>
          <w:t>https://www.sense.org.uk/information-and-advice/ways-of-communicating/total-communication/</w:t>
        </w:r>
      </w:hyperlink>
      <w:r>
        <w:t xml:space="preserve"> </w:t>
      </w:r>
    </w:p>
    <w:p w:rsidR="00AE153B" w:rsidP="00665DF3" w:rsidRDefault="00AE153B" w14:paraId="489073A4" w14:textId="77777777">
      <w:pPr>
        <w:pStyle w:val="ListParagraph"/>
      </w:pPr>
    </w:p>
    <w:sectPr w:rsidR="00AE153B" w:rsidSect="0000429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36AB"/>
    <w:multiLevelType w:val="hybridMultilevel"/>
    <w:tmpl w:val="DA466FB0"/>
    <w:lvl w:ilvl="0" w:tplc="B248F2E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725C9"/>
    <w:multiLevelType w:val="hybridMultilevel"/>
    <w:tmpl w:val="4EA8DA70"/>
    <w:lvl w:ilvl="0" w:tplc="363CFD7E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F601F0"/>
    <w:multiLevelType w:val="multilevel"/>
    <w:tmpl w:val="0336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47540F"/>
    <w:multiLevelType w:val="hybridMultilevel"/>
    <w:tmpl w:val="F01E67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601569"/>
    <w:multiLevelType w:val="multilevel"/>
    <w:tmpl w:val="35B01E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0C4424"/>
    <w:multiLevelType w:val="hybridMultilevel"/>
    <w:tmpl w:val="F06AA93A"/>
    <w:lvl w:ilvl="0" w:tplc="9CC82536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A148B0"/>
    <w:multiLevelType w:val="hybridMultilevel"/>
    <w:tmpl w:val="F1EEC6B8"/>
    <w:lvl w:ilvl="0" w:tplc="CD3C2814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5691019">
    <w:abstractNumId w:val="3"/>
  </w:num>
  <w:num w:numId="2" w16cid:durableId="1930460695">
    <w:abstractNumId w:val="2"/>
  </w:num>
  <w:num w:numId="3" w16cid:durableId="100145183">
    <w:abstractNumId w:val="1"/>
  </w:num>
  <w:num w:numId="4" w16cid:durableId="506099969">
    <w:abstractNumId w:val="6"/>
  </w:num>
  <w:num w:numId="5" w16cid:durableId="1595243616">
    <w:abstractNumId w:val="4"/>
  </w:num>
  <w:num w:numId="6" w16cid:durableId="1144422023">
    <w:abstractNumId w:val="5"/>
  </w:num>
  <w:num w:numId="7" w16cid:durableId="59404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FB"/>
    <w:rsid w:val="0000429B"/>
    <w:rsid w:val="00016CD8"/>
    <w:rsid w:val="00027E84"/>
    <w:rsid w:val="00077363"/>
    <w:rsid w:val="0009508D"/>
    <w:rsid w:val="000B67DB"/>
    <w:rsid w:val="000C43F6"/>
    <w:rsid w:val="000C6DD4"/>
    <w:rsid w:val="000D7E9F"/>
    <w:rsid w:val="000F24CC"/>
    <w:rsid w:val="00104D73"/>
    <w:rsid w:val="00154B65"/>
    <w:rsid w:val="00165664"/>
    <w:rsid w:val="001843FD"/>
    <w:rsid w:val="00187828"/>
    <w:rsid w:val="00194632"/>
    <w:rsid w:val="001A32ED"/>
    <w:rsid w:val="001B4F55"/>
    <w:rsid w:val="001B7612"/>
    <w:rsid w:val="001C114F"/>
    <w:rsid w:val="00200581"/>
    <w:rsid w:val="00206831"/>
    <w:rsid w:val="002275D8"/>
    <w:rsid w:val="002354B9"/>
    <w:rsid w:val="00252EFD"/>
    <w:rsid w:val="0026255A"/>
    <w:rsid w:val="00272318"/>
    <w:rsid w:val="00282661"/>
    <w:rsid w:val="00292D96"/>
    <w:rsid w:val="002A4DB3"/>
    <w:rsid w:val="002C079F"/>
    <w:rsid w:val="002E6A22"/>
    <w:rsid w:val="002E7F46"/>
    <w:rsid w:val="002F1DA7"/>
    <w:rsid w:val="003031D5"/>
    <w:rsid w:val="003106AA"/>
    <w:rsid w:val="0032154B"/>
    <w:rsid w:val="00344F60"/>
    <w:rsid w:val="00347330"/>
    <w:rsid w:val="003523BE"/>
    <w:rsid w:val="0035368A"/>
    <w:rsid w:val="00360556"/>
    <w:rsid w:val="00374426"/>
    <w:rsid w:val="003B54B4"/>
    <w:rsid w:val="003D4706"/>
    <w:rsid w:val="004007D0"/>
    <w:rsid w:val="0043002D"/>
    <w:rsid w:val="00441C25"/>
    <w:rsid w:val="0044412E"/>
    <w:rsid w:val="00473920"/>
    <w:rsid w:val="004817B3"/>
    <w:rsid w:val="004828EF"/>
    <w:rsid w:val="004B032D"/>
    <w:rsid w:val="004C6C86"/>
    <w:rsid w:val="00501DD8"/>
    <w:rsid w:val="00501F34"/>
    <w:rsid w:val="00525029"/>
    <w:rsid w:val="00547066"/>
    <w:rsid w:val="0056094E"/>
    <w:rsid w:val="0056198A"/>
    <w:rsid w:val="00593053"/>
    <w:rsid w:val="005A35DB"/>
    <w:rsid w:val="005B0BFB"/>
    <w:rsid w:val="005B5602"/>
    <w:rsid w:val="005E4CEF"/>
    <w:rsid w:val="00664DBD"/>
    <w:rsid w:val="00665DF3"/>
    <w:rsid w:val="006973E8"/>
    <w:rsid w:val="007111EC"/>
    <w:rsid w:val="0071475B"/>
    <w:rsid w:val="007242D8"/>
    <w:rsid w:val="0072635C"/>
    <w:rsid w:val="00732800"/>
    <w:rsid w:val="007378ED"/>
    <w:rsid w:val="00743B57"/>
    <w:rsid w:val="00771EE9"/>
    <w:rsid w:val="00784204"/>
    <w:rsid w:val="007B0855"/>
    <w:rsid w:val="00854892"/>
    <w:rsid w:val="0086077D"/>
    <w:rsid w:val="00884A4A"/>
    <w:rsid w:val="008B12BC"/>
    <w:rsid w:val="008B6F0C"/>
    <w:rsid w:val="008D71A9"/>
    <w:rsid w:val="008E122E"/>
    <w:rsid w:val="00907033"/>
    <w:rsid w:val="00925365"/>
    <w:rsid w:val="009C37CE"/>
    <w:rsid w:val="009E682B"/>
    <w:rsid w:val="00A04D2B"/>
    <w:rsid w:val="00A441C2"/>
    <w:rsid w:val="00A53584"/>
    <w:rsid w:val="00A576E4"/>
    <w:rsid w:val="00A92D4C"/>
    <w:rsid w:val="00A9352C"/>
    <w:rsid w:val="00AA1226"/>
    <w:rsid w:val="00AE153B"/>
    <w:rsid w:val="00AF33FC"/>
    <w:rsid w:val="00B175E1"/>
    <w:rsid w:val="00B30543"/>
    <w:rsid w:val="00B30883"/>
    <w:rsid w:val="00B53734"/>
    <w:rsid w:val="00B93EB9"/>
    <w:rsid w:val="00BA6154"/>
    <w:rsid w:val="00BB374A"/>
    <w:rsid w:val="00BF5394"/>
    <w:rsid w:val="00C1140C"/>
    <w:rsid w:val="00C56A77"/>
    <w:rsid w:val="00C648AA"/>
    <w:rsid w:val="00C7777A"/>
    <w:rsid w:val="00C86256"/>
    <w:rsid w:val="00C90759"/>
    <w:rsid w:val="00CB518A"/>
    <w:rsid w:val="00CE2620"/>
    <w:rsid w:val="00D16BB6"/>
    <w:rsid w:val="00D25452"/>
    <w:rsid w:val="00D45D26"/>
    <w:rsid w:val="00D54A2A"/>
    <w:rsid w:val="00D66055"/>
    <w:rsid w:val="00D76E0E"/>
    <w:rsid w:val="00D820CD"/>
    <w:rsid w:val="00D83E00"/>
    <w:rsid w:val="00DB18BB"/>
    <w:rsid w:val="00E47F3E"/>
    <w:rsid w:val="00E64EE1"/>
    <w:rsid w:val="00EB41C8"/>
    <w:rsid w:val="00EB6EF1"/>
    <w:rsid w:val="00EE5D9D"/>
    <w:rsid w:val="00EF73CC"/>
    <w:rsid w:val="00FA19DC"/>
    <w:rsid w:val="00FA1A90"/>
    <w:rsid w:val="00FE32FD"/>
    <w:rsid w:val="00FF00B4"/>
    <w:rsid w:val="00FF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957A3"/>
  <w15:chartTrackingRefBased/>
  <w15:docId w15:val="{A65E463E-DA27-4591-95DE-73FE9AAD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B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B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B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B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B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B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BF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D4706"/>
    <w:rPr>
      <w:b/>
      <w:bCs/>
    </w:rPr>
  </w:style>
  <w:style w:type="character" w:styleId="Hyperlink">
    <w:name w:val="Hyperlink"/>
    <w:basedOn w:val="DefaultParagraphFont"/>
    <w:uiPriority w:val="99"/>
    <w:unhideWhenUsed/>
    <w:rsid w:val="00D54A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A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518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0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7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1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echmatters.uk/how-to-create-a-total-communication-environment/" TargetMode="External"/><Relationship Id="rId13" Type="http://schemas.openxmlformats.org/officeDocument/2006/relationships/hyperlink" Target="https://doi.org/10.1007/978-1-4419-1698-3_1708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thespringboardcurriculum.co.uk/blog/f9pa29qwshq17ynzpuako1xgm2k1c4" TargetMode="External"/><Relationship Id="rId12" Type="http://schemas.openxmlformats.org/officeDocument/2006/relationships/hyperlink" Target="https://doi.org/10.33472/AFJBS.6.9.2024.207-217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ense.org.uk/information-and-advice/ways-of-communicating/total-communication/" TargetMode="External"/><Relationship Id="rId11" Type="http://schemas.openxmlformats.org/officeDocument/2006/relationships/hyperlink" Target="https://journals.sagepub.com/doi/pdf/10.1177/02656590251315598" TargetMode="External"/><Relationship Id="rId5" Type="http://schemas.openxmlformats.org/officeDocument/2006/relationships/hyperlink" Target="https://www.hpft.nhs.uk/services/learning-disability-services/useful-resources/total-communication-approach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i.org/10.1037/h0100199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suffolklearning.com/inclusion/specialist-education-services/communication-interaction-ci-service/" TargetMode="External"/><Relationship Id="rId14" Type="http://schemas.openxmlformats.org/officeDocument/2006/relationships/hyperlink" Target="https://www.sense.org.uk/information-and-advice/ways-of-communicating/total-communic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7775EBD653A40B897152B05CC9972" ma:contentTypeVersion="19" ma:contentTypeDescription="Create a new document." ma:contentTypeScope="" ma:versionID="617f00db9ebe33139f8404b03f74b150">
  <xsd:schema xmlns:xsd="http://www.w3.org/2001/XMLSchema" xmlns:xs="http://www.w3.org/2001/XMLSchema" xmlns:p="http://schemas.microsoft.com/office/2006/metadata/properties" xmlns:ns2="b97f7709-dfb7-43a0-b42a-cd354627f020" xmlns:ns3="c87c4431-64f3-4193-a243-315c16951e97" xmlns:ns4="75304046-ffad-4f70-9f4b-bbc776f1b690" targetNamespace="http://schemas.microsoft.com/office/2006/metadata/properties" ma:root="true" ma:fieldsID="ee5f5ce9ec21929f658dd995f9736244" ns2:_="" ns3:_="" ns4:_="">
    <xsd:import namespace="b97f7709-dfb7-43a0-b42a-cd354627f020"/>
    <xsd:import namespace="c87c4431-64f3-4193-a243-315c16951e9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4431-64f3-4193-a243-315c16951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4431-64f3-4193-a243-315c16951e97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100DFBC5-D6B5-4A21-A954-02E0FE2B4202}"/>
</file>

<file path=customXml/itemProps2.xml><?xml version="1.0" encoding="utf-8"?>
<ds:datastoreItem xmlns:ds="http://schemas.openxmlformats.org/officeDocument/2006/customXml" ds:itemID="{A9CB85D1-6D5B-405E-8893-87127129CBA3}"/>
</file>

<file path=customXml/itemProps3.xml><?xml version="1.0" encoding="utf-8"?>
<ds:datastoreItem xmlns:ds="http://schemas.openxmlformats.org/officeDocument/2006/customXml" ds:itemID="{332023F5-5098-4051-AF8C-5D6AFA763B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1205</Words>
  <Characters>6869</Characters>
  <Application>Microsoft Office Word</Application>
  <DocSecurity>0</DocSecurity>
  <Lines>57</Lines>
  <Paragraphs>16</Paragraphs>
  <ScaleCrop>false</ScaleCrop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total-communication-approach</dc:title>
  <dc:subject>
  </dc:subject>
  <dc:creator>Connie Blaney</dc:creator>
  <cp:keywords>
  </cp:keywords>
  <dc:description>
  </dc:description>
  <cp:lastModifiedBy>Alice Clarke</cp:lastModifiedBy>
  <cp:revision>130</cp:revision>
  <dcterms:created xsi:type="dcterms:W3CDTF">2025-09-05T08:29:00Z</dcterms:created>
  <dcterms:modified xsi:type="dcterms:W3CDTF">2025-10-13T20:56:30Z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0x01010069D7775EBD653A40B897152B05CC9972</vt:lpwstr>
  </property>
  <property fmtid="{D5CDD505-2E9C-101B-9397-08002B2CF9AE}" pid="3" name="Order">
    <vt:r8>43300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  <property fmtid="{D5CDD505-2E9C-101B-9397-08002B2CF9AE}" pid="11" name="docLang">
    <vt:lpwstr>en</vt:lpwstr>
  </property>
</Properties>
</file>