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06A4" w:rsidR="000206A4" w:rsidP="000206A4" w:rsidRDefault="235DDC46" w14:paraId="481A99C7" w14:textId="6815C5F0">
      <w:r>
        <w:t>S</w:t>
      </w:r>
      <w:r w:rsidR="7BE3F6EF">
        <w:t>uffolk County Council is updating its approach to community engagement for plan</w:t>
      </w:r>
      <w:r w:rsidR="000206A4">
        <w:noBreakHyphen/>
      </w:r>
      <w:r w:rsidR="7BE3F6EF">
        <w:t xml:space="preserve">making. This draft Engagement Strategy (ES) </w:t>
      </w:r>
      <w:r w:rsidR="7E5E5C1B">
        <w:t xml:space="preserve">will </w:t>
      </w:r>
      <w:r w:rsidR="7BE3F6EF">
        <w:t xml:space="preserve">replace the </w:t>
      </w:r>
      <w:r w:rsidR="7E5E5C1B">
        <w:t>2015</w:t>
      </w:r>
      <w:r w:rsidR="7BE3F6EF">
        <w:t xml:space="preserve"> Statement of Community Involvement (SCI) and sets out how the Council will involve residents, communities, organisations and businesses in preparing the Suffolk Minerals and Waste </w:t>
      </w:r>
      <w:r w:rsidR="26FF2AFF">
        <w:t>Plan.</w:t>
      </w:r>
    </w:p>
    <w:p w:rsidRPr="000206A4" w:rsidR="000206A4" w:rsidP="000206A4" w:rsidRDefault="000206A4" w14:paraId="3F8A37EB" w14:textId="58559702">
      <w:r w:rsidRPr="000206A4">
        <w:t>Following recent changes to national planning legislation, including the Levelling</w:t>
      </w:r>
      <w:r w:rsidRPr="000206A4">
        <w:noBreakHyphen/>
        <w:t>up and Regeneration Act 2023 and the Town and Country Planning (Local Planning) (England) Regulations 2026, SCIs are no longer a statutory requirement</w:t>
      </w:r>
      <w:r w:rsidR="0087549C">
        <w:t xml:space="preserve"> for plan making</w:t>
      </w:r>
      <w:r w:rsidRPr="000206A4">
        <w:t xml:space="preserve">. However, councils must still demonstrate early, meaningful and proportionate engagement. </w:t>
      </w:r>
    </w:p>
    <w:p w:rsidRPr="000206A4" w:rsidR="000206A4" w:rsidP="000206A4" w:rsidRDefault="000206A4" w14:paraId="348FF6EE" w14:textId="51139381">
      <w:r w:rsidRPr="000206A4">
        <w:t>Engagement for planning applications continues to be governed by separate statutory regulations, including the Town and Country Planning (Development Management Procedure) (England) Order 2015. Because these requirements are legally prescribed and operate differently from plan</w:t>
      </w:r>
      <w:r w:rsidRPr="000206A4">
        <w:noBreakHyphen/>
        <w:t>making engagement, they will be set out in a separate document to ensure clarity and avoid mixing statutory consultation duties with discretionary plan</w:t>
      </w:r>
      <w:r w:rsidRPr="000206A4">
        <w:noBreakHyphen/>
        <w:t>making engagement.</w:t>
      </w:r>
      <w:r w:rsidRPr="00256C8A" w:rsidR="00256C8A">
        <w:t xml:space="preserve"> </w:t>
      </w:r>
      <w:r w:rsidR="00256C8A">
        <w:t>Therefore, this Engagement strategy</w:t>
      </w:r>
      <w:r w:rsidRPr="000206A4" w:rsidR="00256C8A">
        <w:t xml:space="preserve"> explains the Council’s approach to engagement for plan</w:t>
      </w:r>
      <w:r w:rsidRPr="000206A4" w:rsidR="00256C8A">
        <w:noBreakHyphen/>
        <w:t>making only.</w:t>
      </w:r>
    </w:p>
    <w:p w:rsidRPr="000206A4" w:rsidR="000206A4" w:rsidP="000206A4" w:rsidRDefault="000206A4" w14:paraId="1200EA05" w14:textId="77777777">
      <w:r w:rsidRPr="000206A4">
        <w:t>The previous SCI was adopted in 2015. Since then, there have been significant changes in legislation, national policy and consultation practice, including:</w:t>
      </w:r>
    </w:p>
    <w:p w:rsidR="00BF01A9" w:rsidP="00200730" w:rsidRDefault="000206A4" w14:paraId="058C37CA" w14:textId="16179BAF">
      <w:pPr>
        <w:pStyle w:val="ListParagraph"/>
        <w:numPr>
          <w:ilvl w:val="0"/>
          <w:numId w:val="2"/>
        </w:numPr>
      </w:pPr>
      <w:r w:rsidRPr="000206A4">
        <w:t>The Levelling</w:t>
      </w:r>
      <w:r w:rsidRPr="000206A4">
        <w:noBreakHyphen/>
        <w:t>up and Regeneration Act 2023, which reforms plan</w:t>
      </w:r>
      <w:r w:rsidRPr="000206A4">
        <w:noBreakHyphen/>
        <w:t xml:space="preserve">making and replaces the Duty to Cooperate with new Alignment Tests. </w:t>
      </w:r>
    </w:p>
    <w:p w:rsidR="00200730" w:rsidP="00200730" w:rsidRDefault="00200730" w14:paraId="4A06BDA1" w14:textId="0AC9FF31">
      <w:pPr>
        <w:pStyle w:val="ListParagraph"/>
        <w:numPr>
          <w:ilvl w:val="0"/>
          <w:numId w:val="2"/>
        </w:numPr>
      </w:pPr>
      <w:r w:rsidRPr="00200730">
        <w:t>The Town and Country Planning (Local Planning) (England) Regulations 2026, which introduce the new 30</w:t>
      </w:r>
      <w:r w:rsidRPr="00200730">
        <w:noBreakHyphen/>
        <w:t>month plan</w:t>
      </w:r>
      <w:r w:rsidRPr="00200730">
        <w:noBreakHyphen/>
        <w:t>making system, statutory consultation stages (Regulations 45, 48 and 52), and the requirement for a</w:t>
      </w:r>
      <w:r w:rsidR="00F042C9">
        <w:t xml:space="preserve">n </w:t>
      </w:r>
      <w:r w:rsidRPr="00200730">
        <w:t>Engagement Strategy</w:t>
      </w:r>
      <w:r w:rsidR="00F042C9">
        <w:t xml:space="preserve"> through the Project Initiation Document</w:t>
      </w:r>
      <w:r w:rsidR="00734D9B">
        <w:t xml:space="preserve"> </w:t>
      </w:r>
      <w:r w:rsidRPr="00734D9B" w:rsidR="00734D9B">
        <w:t>needs to be in place through the Regulation 46: Gateway 1 self-assessment</w:t>
      </w:r>
      <w:r w:rsidRPr="00200730">
        <w:t>.</w:t>
      </w:r>
    </w:p>
    <w:p w:rsidR="00200730" w:rsidP="00200730" w:rsidRDefault="000206A4" w14:paraId="54460CB8" w14:textId="114F6020">
      <w:pPr>
        <w:pStyle w:val="ListParagraph"/>
        <w:numPr>
          <w:ilvl w:val="0"/>
          <w:numId w:val="2"/>
        </w:numPr>
      </w:pPr>
      <w:r w:rsidRPr="000206A4">
        <w:t>Updated National Planning Policy Framework (2024) requirements for early, meaningful and transparent engagement.</w:t>
      </w:r>
    </w:p>
    <w:p w:rsidR="00200730" w:rsidP="00200730" w:rsidRDefault="000206A4" w14:paraId="58E10237" w14:textId="37848075">
      <w:pPr>
        <w:pStyle w:val="ListParagraph"/>
        <w:numPr>
          <w:ilvl w:val="0"/>
          <w:numId w:val="2"/>
        </w:numPr>
      </w:pPr>
      <w:r w:rsidRPr="000206A4">
        <w:t>A major shift towards digital engagement, including online surveys, interactive mapping and virtual consultation sessions.</w:t>
      </w:r>
    </w:p>
    <w:p w:rsidRPr="000206A4" w:rsidR="000206A4" w:rsidP="00200730" w:rsidRDefault="426B0E75" w14:paraId="481E8853" w14:textId="62F0025D">
      <w:pPr>
        <w:pStyle w:val="ListParagraph"/>
        <w:numPr>
          <w:ilvl w:val="0"/>
          <w:numId w:val="2"/>
        </w:numPr>
      </w:pPr>
      <w:r>
        <w:t>A focus on inclusive, accessible and transparent consultation, in line with the Equality Act 2010 and the Public Sector Equality Duty (PSED).</w:t>
      </w:r>
    </w:p>
    <w:p w:rsidRPr="00A363B8" w:rsidR="000206A4" w:rsidP="000206A4" w:rsidRDefault="000206A4" w14:paraId="5660AF11" w14:textId="758754A9">
      <w:pPr>
        <w:rPr>
          <w:b/>
          <w:bCs/>
        </w:rPr>
      </w:pPr>
      <w:r w:rsidRPr="00A363B8">
        <w:rPr>
          <w:b/>
          <w:bCs/>
        </w:rPr>
        <w:t xml:space="preserve">The </w:t>
      </w:r>
      <w:r w:rsidR="00DF4FEC">
        <w:rPr>
          <w:b/>
          <w:bCs/>
        </w:rPr>
        <w:t xml:space="preserve">Engagement </w:t>
      </w:r>
      <w:r w:rsidR="00070324">
        <w:rPr>
          <w:b/>
          <w:bCs/>
        </w:rPr>
        <w:t>S</w:t>
      </w:r>
      <w:r w:rsidR="00DF4FEC">
        <w:rPr>
          <w:b/>
          <w:bCs/>
        </w:rPr>
        <w:t xml:space="preserve">trategy </w:t>
      </w:r>
      <w:r w:rsidRPr="00A363B8">
        <w:rPr>
          <w:b/>
          <w:bCs/>
        </w:rPr>
        <w:t>sets out:</w:t>
      </w:r>
    </w:p>
    <w:p w:rsidR="00311049" w:rsidP="00A363B8" w:rsidRDefault="000206A4" w14:paraId="13C522CF" w14:textId="47EC2679">
      <w:pPr>
        <w:ind w:left="851"/>
      </w:pPr>
      <w:r w:rsidRPr="000206A4">
        <w:t xml:space="preserve">a) How and when the Council will engage during preparation of the Minerals and Waste Plan, including the Regulation 45, 48 and 52 stages. </w:t>
      </w:r>
    </w:p>
    <w:p w:rsidR="00311049" w:rsidP="1DF1B4C1" w:rsidRDefault="426B0E75" w14:paraId="67792EA7" w14:textId="629842E8">
      <w:pPr>
        <w:ind w:left="851"/>
      </w:pPr>
      <w:r>
        <w:lastRenderedPageBreak/>
        <w:t xml:space="preserve">b) The engagement methods the Council will use, including digital tools, </w:t>
      </w:r>
      <w:r w:rsidR="5675193F">
        <w:t>stakeholder workshop</w:t>
      </w:r>
      <w:r>
        <w:t xml:space="preserve"> events, targeted engagement with seldom</w:t>
      </w:r>
      <w:r w:rsidR="000206A4">
        <w:noBreakHyphen/>
      </w:r>
      <w:r>
        <w:t xml:space="preserve">heard groups, and </w:t>
      </w:r>
      <w:r w:rsidR="2E9C5445">
        <w:t xml:space="preserve">providing information in </w:t>
      </w:r>
      <w:r>
        <w:t xml:space="preserve">accessible formats. </w:t>
      </w:r>
    </w:p>
    <w:p w:rsidRPr="000206A4" w:rsidR="000206A4" w:rsidP="00A363B8" w:rsidRDefault="005D77C0" w14:paraId="562913FD" w14:textId="50284D5A">
      <w:pPr>
        <w:ind w:left="851"/>
      </w:pPr>
      <w:r>
        <w:t>c</w:t>
      </w:r>
      <w:r w:rsidRPr="000206A4" w:rsidR="000206A4">
        <w:t>) The Council’s commitment to inclusiveness, transparency, accessibility and accountability in all engagement activities.</w:t>
      </w:r>
    </w:p>
    <w:p w:rsidRPr="000206A4" w:rsidR="000206A4" w:rsidP="000206A4" w:rsidRDefault="06F99023" w14:paraId="00F0B192" w14:textId="5C4A85F6">
      <w:r>
        <w:t xml:space="preserve">We are consulting on this draft Engagement Strategy for </w:t>
      </w:r>
      <w:r w:rsidR="3EFAE20D">
        <w:t>P</w:t>
      </w:r>
      <w:r>
        <w:t>lan</w:t>
      </w:r>
      <w:r w:rsidR="000206A4">
        <w:noBreakHyphen/>
      </w:r>
      <w:r>
        <w:t xml:space="preserve">making. The consultation will be open for </w:t>
      </w:r>
      <w:r w:rsidRPr="00600F0E">
        <w:t>six weeks</w:t>
      </w:r>
      <w:r>
        <w:t>. After it closes, we will review all responses, consider any changes needed, and update the Strategy before adopting the final version.</w:t>
      </w:r>
    </w:p>
    <w:p w:rsidR="50124BD7" w:rsidP="234E1D42" w:rsidRDefault="50124BD7" w14:paraId="3EDC2D58" w14:textId="324B59A6">
      <w:r w:rsidRPr="234E1D42">
        <w:rPr>
          <w:b/>
          <w:bCs/>
        </w:rPr>
        <w:t xml:space="preserve">What happens next: </w:t>
      </w:r>
    </w:p>
    <w:p w:rsidR="39E9CEB8" w:rsidRDefault="39E9CEB8" w14:paraId="2F5052E8" w14:textId="2F830E84">
      <w:r w:rsidRPr="234E1D42">
        <w:rPr>
          <w:rFonts w:ascii="Aptos" w:hAnsi="Aptos" w:eastAsia="Aptos" w:cs="Aptos"/>
        </w:rPr>
        <w:t>After the six</w:t>
      </w:r>
      <w:r>
        <w:noBreakHyphen/>
      </w:r>
      <w:r w:rsidRPr="234E1D42">
        <w:rPr>
          <w:rFonts w:ascii="Aptos" w:hAnsi="Aptos" w:eastAsia="Aptos" w:cs="Aptos"/>
        </w:rPr>
        <w:t>week consultation closes, the Council will review all comments received and prepare a Consultation Summary Report. This will set out the main issues raised, how they have been considered, and any changes proposed to the Engagement Strategy. Where comments relate to statutory requirements or national policy, these will be addressed in line with the Town and Country Planning (Local Planning) (England) Regulations 2026 and the National Planning Policy Framework (2024).</w:t>
      </w:r>
    </w:p>
    <w:p w:rsidRPr="00380D60" w:rsidR="000206A4" w:rsidP="000206A4" w:rsidRDefault="7ED4F55F" w14:paraId="09D0F2DF" w14:textId="3E11A6D2">
      <w:r w:rsidRPr="7687747E">
        <w:rPr>
          <w:rFonts w:ascii="Aptos" w:hAnsi="Aptos" w:eastAsia="Aptos" w:cs="Aptos"/>
        </w:rPr>
        <w:t xml:space="preserve">The Council will then finalise the Engagement Strategy and </w:t>
      </w:r>
      <w:r w:rsidRPr="7687747E" w:rsidR="569E0718">
        <w:rPr>
          <w:rFonts w:ascii="Aptos" w:hAnsi="Aptos" w:eastAsia="Aptos" w:cs="Aptos"/>
        </w:rPr>
        <w:t xml:space="preserve">and use it to form part of the </w:t>
      </w:r>
      <w:r w:rsidRPr="7687747E">
        <w:rPr>
          <w:rFonts w:ascii="Aptos" w:hAnsi="Aptos" w:eastAsia="Aptos" w:cs="Aptos"/>
        </w:rPr>
        <w:t>Project Initiation Document for the Suffolk Minerals and Waste Plan and will be used to guide engagement activity throughout the plan</w:t>
      </w:r>
      <w:r w:rsidR="000206A4">
        <w:noBreakHyphen/>
      </w:r>
      <w:r w:rsidRPr="7687747E">
        <w:rPr>
          <w:rFonts w:ascii="Aptos" w:hAnsi="Aptos" w:eastAsia="Aptos" w:cs="Aptos"/>
        </w:rPr>
        <w:t>making process, including the Regulation 45 (Plan</w:t>
      </w:r>
      <w:r w:rsidR="000206A4">
        <w:noBreakHyphen/>
      </w:r>
      <w:r w:rsidRPr="7687747E">
        <w:rPr>
          <w:rFonts w:ascii="Aptos" w:hAnsi="Aptos" w:eastAsia="Aptos" w:cs="Aptos"/>
        </w:rPr>
        <w:t>making commencement), Regulation 48 (Draft Plan) and Regulation 52 (Proposed Submission) stages.</w:t>
      </w:r>
    </w:p>
    <w:p w:rsidR="00214BD7" w:rsidRDefault="004C1417" w14:paraId="266BAF9B" w14:textId="4CC35EAA">
      <w:hyperlink w:history="1" r:id="rId8">
        <w:r w:rsidRPr="004C1417" w:rsidR="16BD06ED">
          <w:rPr>
            <w:rStyle w:val="Hyperlink"/>
          </w:rPr>
          <w:t>Please use the online form to provide feedback</w:t>
        </w:r>
      </w:hyperlink>
      <w:r w:rsidR="16BD06ED">
        <w:t>.</w:t>
      </w:r>
    </w:p>
    <w:sectPr w:rsidR="00214B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4279"/>
    <w:multiLevelType w:val="hybridMultilevel"/>
    <w:tmpl w:val="1EDA1452"/>
    <w:lvl w:ilvl="0" w:tplc="069A9A6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894787"/>
    <w:multiLevelType w:val="hybridMultilevel"/>
    <w:tmpl w:val="8DC07CEE"/>
    <w:lvl w:ilvl="0" w:tplc="0FBCE4F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20871266"/>
    <w:multiLevelType w:val="multilevel"/>
    <w:tmpl w:val="DCCCFC2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C35AD"/>
    <w:multiLevelType w:val="multilevel"/>
    <w:tmpl w:val="DD0A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F21BC"/>
    <w:multiLevelType w:val="hybridMultilevel"/>
    <w:tmpl w:val="1BE210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EC646A"/>
    <w:multiLevelType w:val="multilevel"/>
    <w:tmpl w:val="E9F4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3157BA"/>
    <w:multiLevelType w:val="multilevel"/>
    <w:tmpl w:val="56DEFEF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B5360B"/>
    <w:multiLevelType w:val="multilevel"/>
    <w:tmpl w:val="06E0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2767FE"/>
    <w:multiLevelType w:val="multilevel"/>
    <w:tmpl w:val="6F5A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45825">
    <w:abstractNumId w:val="2"/>
  </w:num>
  <w:num w:numId="2" w16cid:durableId="1059938723">
    <w:abstractNumId w:val="1"/>
  </w:num>
  <w:num w:numId="3" w16cid:durableId="1168254041">
    <w:abstractNumId w:val="8"/>
  </w:num>
  <w:num w:numId="4" w16cid:durableId="1173183738">
    <w:abstractNumId w:val="6"/>
  </w:num>
  <w:num w:numId="5" w16cid:durableId="1313556284">
    <w:abstractNumId w:val="4"/>
  </w:num>
  <w:num w:numId="6" w16cid:durableId="1791894449">
    <w:abstractNumId w:val="3"/>
  </w:num>
  <w:num w:numId="7" w16cid:durableId="2018998166">
    <w:abstractNumId w:val="5"/>
  </w:num>
  <w:num w:numId="8" w16cid:durableId="2113473429">
    <w:abstractNumId w:val="0"/>
  </w:num>
  <w:num w:numId="9" w16cid:durableId="3804405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D7"/>
    <w:rsid w:val="00013893"/>
    <w:rsid w:val="000206A4"/>
    <w:rsid w:val="00070324"/>
    <w:rsid w:val="00083755"/>
    <w:rsid w:val="001269B5"/>
    <w:rsid w:val="00145333"/>
    <w:rsid w:val="001651FD"/>
    <w:rsid w:val="00200730"/>
    <w:rsid w:val="00214BD7"/>
    <w:rsid w:val="00241E9B"/>
    <w:rsid w:val="00256C8A"/>
    <w:rsid w:val="002767A9"/>
    <w:rsid w:val="00286E20"/>
    <w:rsid w:val="00303AC5"/>
    <w:rsid w:val="00311049"/>
    <w:rsid w:val="00321959"/>
    <w:rsid w:val="00332391"/>
    <w:rsid w:val="00380D60"/>
    <w:rsid w:val="0039382D"/>
    <w:rsid w:val="003B2F9B"/>
    <w:rsid w:val="00407BC6"/>
    <w:rsid w:val="00463000"/>
    <w:rsid w:val="004B32F1"/>
    <w:rsid w:val="004C1417"/>
    <w:rsid w:val="004F0FCB"/>
    <w:rsid w:val="00550922"/>
    <w:rsid w:val="005D77C0"/>
    <w:rsid w:val="00600F0E"/>
    <w:rsid w:val="00611CA4"/>
    <w:rsid w:val="00622473"/>
    <w:rsid w:val="006810D0"/>
    <w:rsid w:val="006F0D7A"/>
    <w:rsid w:val="00734D9B"/>
    <w:rsid w:val="007B23C1"/>
    <w:rsid w:val="00840269"/>
    <w:rsid w:val="0087549C"/>
    <w:rsid w:val="008F5E16"/>
    <w:rsid w:val="009420FA"/>
    <w:rsid w:val="00971C7D"/>
    <w:rsid w:val="00992D38"/>
    <w:rsid w:val="00A26926"/>
    <w:rsid w:val="00A363B8"/>
    <w:rsid w:val="00A542E2"/>
    <w:rsid w:val="00AA3021"/>
    <w:rsid w:val="00AD4E70"/>
    <w:rsid w:val="00B955A3"/>
    <w:rsid w:val="00BA0A7E"/>
    <w:rsid w:val="00BF01A9"/>
    <w:rsid w:val="00C322EA"/>
    <w:rsid w:val="00C3739C"/>
    <w:rsid w:val="00C93D26"/>
    <w:rsid w:val="00D3089B"/>
    <w:rsid w:val="00D907BA"/>
    <w:rsid w:val="00DB4077"/>
    <w:rsid w:val="00DD163F"/>
    <w:rsid w:val="00DF4FEC"/>
    <w:rsid w:val="00E0315B"/>
    <w:rsid w:val="00E94167"/>
    <w:rsid w:val="00EC7C55"/>
    <w:rsid w:val="00F042C9"/>
    <w:rsid w:val="00F07F8C"/>
    <w:rsid w:val="02654780"/>
    <w:rsid w:val="05B9E05E"/>
    <w:rsid w:val="05F54EE1"/>
    <w:rsid w:val="06F99023"/>
    <w:rsid w:val="08DADEE5"/>
    <w:rsid w:val="0AAF2709"/>
    <w:rsid w:val="0F470FC8"/>
    <w:rsid w:val="16BD06ED"/>
    <w:rsid w:val="1DF1B4C1"/>
    <w:rsid w:val="2111F06A"/>
    <w:rsid w:val="21475E37"/>
    <w:rsid w:val="234E1D42"/>
    <w:rsid w:val="235DDC46"/>
    <w:rsid w:val="26D70240"/>
    <w:rsid w:val="26FF2AFF"/>
    <w:rsid w:val="2A435C3F"/>
    <w:rsid w:val="2BE9E501"/>
    <w:rsid w:val="2E9C5445"/>
    <w:rsid w:val="315F41DB"/>
    <w:rsid w:val="32F4BC98"/>
    <w:rsid w:val="39E9CEB8"/>
    <w:rsid w:val="3D109DA4"/>
    <w:rsid w:val="3EFAE20D"/>
    <w:rsid w:val="40940A4C"/>
    <w:rsid w:val="426B0E75"/>
    <w:rsid w:val="493AAF2C"/>
    <w:rsid w:val="50124BD7"/>
    <w:rsid w:val="50E8D872"/>
    <w:rsid w:val="53594FB3"/>
    <w:rsid w:val="5675193F"/>
    <w:rsid w:val="569E0718"/>
    <w:rsid w:val="5A86B609"/>
    <w:rsid w:val="5C7CC2CE"/>
    <w:rsid w:val="5EE9442C"/>
    <w:rsid w:val="60F57675"/>
    <w:rsid w:val="61E631C3"/>
    <w:rsid w:val="66662A86"/>
    <w:rsid w:val="66E436AE"/>
    <w:rsid w:val="674AB7B5"/>
    <w:rsid w:val="6A337FD7"/>
    <w:rsid w:val="6AF5B416"/>
    <w:rsid w:val="6CFB04DA"/>
    <w:rsid w:val="6F9D7221"/>
    <w:rsid w:val="7687747E"/>
    <w:rsid w:val="77EF761C"/>
    <w:rsid w:val="7BE3F6EF"/>
    <w:rsid w:val="7D438B5E"/>
    <w:rsid w:val="7E051E43"/>
    <w:rsid w:val="7E5E5C1B"/>
    <w:rsid w:val="7ED4F5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8AB1"/>
  <w15:chartTrackingRefBased/>
  <w15:docId w15:val="{205E6507-8B1C-401D-AC60-D7948536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4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4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4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4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4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4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BD7"/>
    <w:rPr>
      <w:rFonts w:eastAsiaTheme="majorEastAsia" w:cstheme="majorBidi"/>
      <w:color w:val="272727" w:themeColor="text1" w:themeTint="D8"/>
    </w:rPr>
  </w:style>
  <w:style w:type="paragraph" w:styleId="Title">
    <w:name w:val="Title"/>
    <w:basedOn w:val="Normal"/>
    <w:next w:val="Normal"/>
    <w:link w:val="TitleChar"/>
    <w:uiPriority w:val="10"/>
    <w:qFormat/>
    <w:rsid w:val="00214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BD7"/>
    <w:pPr>
      <w:spacing w:before="160"/>
      <w:jc w:val="center"/>
    </w:pPr>
    <w:rPr>
      <w:i/>
      <w:iCs/>
      <w:color w:val="404040" w:themeColor="text1" w:themeTint="BF"/>
    </w:rPr>
  </w:style>
  <w:style w:type="character" w:customStyle="1" w:styleId="QuoteChar">
    <w:name w:val="Quote Char"/>
    <w:basedOn w:val="DefaultParagraphFont"/>
    <w:link w:val="Quote"/>
    <w:uiPriority w:val="29"/>
    <w:rsid w:val="00214BD7"/>
    <w:rPr>
      <w:i/>
      <w:iCs/>
      <w:color w:val="404040" w:themeColor="text1" w:themeTint="BF"/>
    </w:rPr>
  </w:style>
  <w:style w:type="paragraph" w:styleId="ListParagraph">
    <w:name w:val="List Paragraph"/>
    <w:basedOn w:val="Normal"/>
    <w:uiPriority w:val="34"/>
    <w:qFormat/>
    <w:rsid w:val="00214BD7"/>
    <w:pPr>
      <w:ind w:left="720"/>
      <w:contextualSpacing/>
    </w:pPr>
  </w:style>
  <w:style w:type="character" w:styleId="IntenseEmphasis">
    <w:name w:val="Intense Emphasis"/>
    <w:basedOn w:val="DefaultParagraphFont"/>
    <w:uiPriority w:val="21"/>
    <w:qFormat/>
    <w:rsid w:val="00214BD7"/>
    <w:rPr>
      <w:i/>
      <w:iCs/>
      <w:color w:val="0F4761" w:themeColor="accent1" w:themeShade="BF"/>
    </w:rPr>
  </w:style>
  <w:style w:type="paragraph" w:styleId="IntenseQuote">
    <w:name w:val="Intense Quote"/>
    <w:basedOn w:val="Normal"/>
    <w:next w:val="Normal"/>
    <w:link w:val="IntenseQuoteChar"/>
    <w:uiPriority w:val="30"/>
    <w:qFormat/>
    <w:rsid w:val="00214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4BD7"/>
    <w:rPr>
      <w:i/>
      <w:iCs/>
      <w:color w:val="0F4761" w:themeColor="accent1" w:themeShade="BF"/>
    </w:rPr>
  </w:style>
  <w:style w:type="character" w:styleId="IntenseReference">
    <w:name w:val="Intense Reference"/>
    <w:basedOn w:val="DefaultParagraphFont"/>
    <w:uiPriority w:val="32"/>
    <w:qFormat/>
    <w:rsid w:val="00214BD7"/>
    <w:rPr>
      <w:b/>
      <w:bCs/>
      <w:smallCaps/>
      <w:color w:val="0F4761" w:themeColor="accent1" w:themeShade="BF"/>
      <w:spacing w:val="5"/>
    </w:rPr>
  </w:style>
  <w:style w:type="paragraph" w:styleId="NormalWeb">
    <w:name w:val="Normal (Web)"/>
    <w:basedOn w:val="Normal"/>
    <w:uiPriority w:val="99"/>
    <w:semiHidden/>
    <w:unhideWhenUsed/>
    <w:rsid w:val="000206A4"/>
    <w:rPr>
      <w:rFonts w:ascii="Times New Roman" w:hAnsi="Times New Roman" w:cs="Times New Roman"/>
    </w:rPr>
  </w:style>
  <w:style w:type="character" w:styleId="Hyperlink">
    <w:name w:val="Hyperlink"/>
    <w:basedOn w:val="DefaultParagraphFont"/>
    <w:uiPriority w:val="99"/>
    <w:unhideWhenUsed/>
    <w:rsid w:val="004C1417"/>
    <w:rPr>
      <w:color w:val="467886" w:themeColor="hyperlink"/>
      <w:u w:val="single"/>
    </w:rPr>
  </w:style>
  <w:style w:type="character" w:styleId="UnresolvedMention">
    <w:name w:val="Unresolved Mention"/>
    <w:basedOn w:val="DefaultParagraphFont"/>
    <w:uiPriority w:val="99"/>
    <w:semiHidden/>
    <w:unhideWhenUsed/>
    <w:rsid w:val="004C1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urvey.co.uk/t/EngagementStrateg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f09a8-1586-4734-ba37-0c382fb02d62">
      <Terms xmlns="http://schemas.microsoft.com/office/infopath/2007/PartnerControls"/>
    </lcf76f155ced4ddcb4097134ff3c332f>
    <TaxCatchAll xmlns="75304046-ffad-4f70-9f4b-bbc776f1b6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6AA290971DFA43ADC6B12D6F461843" ma:contentTypeVersion="16" ma:contentTypeDescription="Create a new document." ma:contentTypeScope="" ma:versionID="4b96536ef324432851ce8256085d2dd5">
  <xsd:schema xmlns:xsd="http://www.w3.org/2001/XMLSchema" xmlns:xs="http://www.w3.org/2001/XMLSchema" xmlns:p="http://schemas.microsoft.com/office/2006/metadata/properties" xmlns:ns2="10df09a8-1586-4734-ba37-0c382fb02d62" xmlns:ns3="07becab0-10a0-490c-a70e-9160c454cd56" xmlns:ns4="75304046-ffad-4f70-9f4b-bbc776f1b690" targetNamespace="http://schemas.microsoft.com/office/2006/metadata/properties" ma:root="true" ma:fieldsID="4214d7902e547c4efe1c26f30fa18f08" ns2:_="" ns3:_="" ns4:_="">
    <xsd:import namespace="10df09a8-1586-4734-ba37-0c382fb02d62"/>
    <xsd:import namespace="07becab0-10a0-490c-a70e-9160c454cd5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f09a8-1586-4734-ba37-0c382fb02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becab0-10a0-490c-a70e-9160c454cd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509eb39-48e4-4c48-9a0a-5a6341ae62ab}" ma:internalName="TaxCatchAll" ma:showField="CatchAllData" ma:web="07becab0-10a0-490c-a70e-9160c454cd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638E27-46D6-4AD1-BADE-6526696144A1}">
  <ds:schemaRefs>
    <ds:schemaRef ds:uri="http://schemas.microsoft.com/office/2006/metadata/properties"/>
    <ds:schemaRef ds:uri="http://schemas.microsoft.com/office/infopath/2007/PartnerControls"/>
    <ds:schemaRef ds:uri="10df09a8-1586-4734-ba37-0c382fb02d62"/>
    <ds:schemaRef ds:uri="75304046-ffad-4f70-9f4b-bbc776f1b690"/>
  </ds:schemaRefs>
</ds:datastoreItem>
</file>

<file path=customXml/itemProps2.xml><?xml version="1.0" encoding="utf-8"?>
<ds:datastoreItem xmlns:ds="http://schemas.openxmlformats.org/officeDocument/2006/customXml" ds:itemID="{1595524C-6D6C-4604-9AF4-E8A8B4ED4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f09a8-1586-4734-ba37-0c382fb02d62"/>
    <ds:schemaRef ds:uri="07becab0-10a0-490c-a70e-9160c454cd5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D76517-91B4-4606-93E3-04472CDBB3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Minerals and Waste Plan Engagement Strategy</dc:title>
  <dc:subject>
  </dc:subject>
  <dc:creator>Ross Walker</dc:creator>
  <cp:keywords>
  </cp:keywords>
  <dc:description>
  </dc:description>
  <cp:lastModifiedBy>Ben Matthews</cp:lastModifiedBy>
  <cp:revision>4</cp:revision>
  <dcterms:created xsi:type="dcterms:W3CDTF">2026-06-22T14:51:00Z</dcterms:created>
  <dcterms:modified xsi:type="dcterms:W3CDTF">2026-06-22T15:05:04Z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0x010100EF6AA290971DFA43ADC6B12D6F461843</vt:lpwstr>
  </property>
  <property fmtid="{D5CDD505-2E9C-101B-9397-08002B2CF9AE}" pid="3" name="MediaServiceImageTags">
    <vt:lpwstr/>
  </property>
</Properties>
</file>