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94E5F" w:rsidR="008711FE" w:rsidRDefault="00220887" w14:paraId="73AEBFE0" w14:textId="72447225">
      <w:pPr>
        <w:rPr>
          <w:b/>
          <w:bCs/>
          <w:sz w:val="28"/>
          <w:szCs w:val="28"/>
        </w:rPr>
      </w:pPr>
      <w:r w:rsidRPr="00A94E5F">
        <w:rPr>
          <w:b/>
          <w:bCs/>
          <w:sz w:val="28"/>
          <w:szCs w:val="28"/>
        </w:rPr>
        <w:t>Monitor</w:t>
      </w:r>
      <w:r w:rsidR="00A94E5F">
        <w:rPr>
          <w:b/>
          <w:bCs/>
          <w:sz w:val="28"/>
          <w:szCs w:val="28"/>
        </w:rPr>
        <w:t>ing</w:t>
      </w:r>
      <w:r w:rsidRPr="00A94E5F">
        <w:rPr>
          <w:b/>
          <w:bCs/>
          <w:sz w:val="28"/>
          <w:szCs w:val="28"/>
        </w:rPr>
        <w:t xml:space="preserve"> Sensory Needs: </w:t>
      </w:r>
      <w:r w:rsidR="00A94E5F">
        <w:rPr>
          <w:b/>
          <w:bCs/>
          <w:sz w:val="28"/>
          <w:szCs w:val="28"/>
        </w:rPr>
        <w:t xml:space="preserve">A </w:t>
      </w:r>
      <w:r w:rsidRPr="00A94E5F">
        <w:rPr>
          <w:b/>
          <w:bCs/>
          <w:sz w:val="28"/>
          <w:szCs w:val="28"/>
        </w:rPr>
        <w:t>School Staff Summary</w:t>
      </w:r>
    </w:p>
    <w:p w:rsidRPr="00220887" w:rsidR="00220887" w:rsidP="00220887" w:rsidRDefault="00220887" w14:paraId="53C72935" w14:textId="77777777">
      <w:pPr>
        <w:rPr>
          <w:b/>
          <w:bCs/>
        </w:rPr>
      </w:pPr>
      <w:r w:rsidRPr="00220887">
        <w:rPr>
          <w:b/>
          <w:bCs/>
        </w:rPr>
        <w:t>1. Introduction</w:t>
      </w:r>
    </w:p>
    <w:p w:rsidRPr="00220887" w:rsidR="00220887" w:rsidP="00220887" w:rsidRDefault="00220887" w14:paraId="1A84C2E7" w14:textId="565B8FA9">
      <w:r w:rsidRPr="00220887">
        <w:t xml:space="preserve">Sensory needs refer to how students process sensory information—touch, sound, sight, movement, and more. Some children may be over- or under-responsive, which can impact their learning, </w:t>
      </w:r>
      <w:r w:rsidRPr="00220887">
        <w:t>behaviour</w:t>
      </w:r>
      <w:r w:rsidRPr="00220887">
        <w:t>, and wellbeing. Monitoring these needs helps create inclusive environments that support every learner.</w:t>
      </w:r>
    </w:p>
    <w:p w:rsidRPr="00220887" w:rsidR="00220887" w:rsidP="00220887" w:rsidRDefault="00220887" w14:paraId="7235D9ED" w14:textId="77777777">
      <w:pPr>
        <w:rPr>
          <w:b/>
          <w:bCs/>
        </w:rPr>
      </w:pPr>
      <w:r w:rsidRPr="00220887">
        <w:rPr>
          <w:b/>
          <w:bCs/>
        </w:rPr>
        <w:t>2. Purpose of Intervention</w:t>
      </w:r>
    </w:p>
    <w:p w:rsidRPr="00220887" w:rsidR="00220887" w:rsidP="00220887" w:rsidRDefault="00220887" w14:paraId="16F65A47" w14:textId="77777777">
      <w:r w:rsidRPr="00220887">
        <w:t>To identify and respond to sensory processing differences in students, reducing barriers to engagement and promoting emotional regulation, focus, and comfort in the school setting.</w:t>
      </w:r>
    </w:p>
    <w:p w:rsidRPr="00220887" w:rsidR="00220887" w:rsidP="00220887" w:rsidRDefault="00220887" w14:paraId="03F20EF8" w14:textId="77777777">
      <w:pPr>
        <w:rPr>
          <w:b/>
          <w:bCs/>
        </w:rPr>
      </w:pPr>
      <w:r w:rsidRPr="00220887">
        <w:rPr>
          <w:b/>
          <w:bCs/>
        </w:rPr>
        <w:t>3. Target Audience</w:t>
      </w:r>
    </w:p>
    <w:p w:rsidRPr="00220887" w:rsidR="00220887" w:rsidP="00220887" w:rsidRDefault="00220887" w14:paraId="7834E3E8" w14:textId="77777777">
      <w:r w:rsidRPr="00220887">
        <w:t>Students with diagnosed or suspected sensory processing challenges, including those with autism, ADHD, developmental delays, or trauma-related needs.</w:t>
      </w:r>
    </w:p>
    <w:p w:rsidRPr="00220887" w:rsidR="00220887" w:rsidP="00220887" w:rsidRDefault="00220887" w14:paraId="201834BE" w14:textId="77777777">
      <w:pPr>
        <w:rPr>
          <w:b/>
          <w:bCs/>
        </w:rPr>
      </w:pPr>
      <w:r w:rsidRPr="00220887">
        <w:rPr>
          <w:b/>
          <w:bCs/>
        </w:rPr>
        <w:t>4. Who Can Deliver the Intervention</w:t>
      </w:r>
    </w:p>
    <w:p w:rsidRPr="00220887" w:rsidR="00220887" w:rsidP="00220887" w:rsidRDefault="00220887" w14:paraId="5BAC216E" w14:textId="77777777">
      <w:pPr>
        <w:numPr>
          <w:ilvl w:val="0"/>
          <w:numId w:val="2"/>
        </w:numPr>
      </w:pPr>
      <w:r w:rsidRPr="00220887">
        <w:t>Teachers</w:t>
      </w:r>
    </w:p>
    <w:p w:rsidRPr="00220887" w:rsidR="00220887" w:rsidP="00220887" w:rsidRDefault="00220887" w14:paraId="758B72F1" w14:textId="77777777">
      <w:pPr>
        <w:numPr>
          <w:ilvl w:val="0"/>
          <w:numId w:val="2"/>
        </w:numPr>
      </w:pPr>
      <w:r w:rsidRPr="00220887">
        <w:t>Teaching Assistants</w:t>
      </w:r>
    </w:p>
    <w:p w:rsidRPr="00220887" w:rsidR="00220887" w:rsidP="00220887" w:rsidRDefault="00220887" w14:paraId="01C57CAB" w14:textId="77777777">
      <w:pPr>
        <w:numPr>
          <w:ilvl w:val="0"/>
          <w:numId w:val="2"/>
        </w:numPr>
      </w:pPr>
      <w:r w:rsidRPr="00220887">
        <w:t>SENCOs</w:t>
      </w:r>
    </w:p>
    <w:p w:rsidRPr="00220887" w:rsidR="00220887" w:rsidP="00220887" w:rsidRDefault="00220887" w14:paraId="104C5C01" w14:textId="77777777">
      <w:pPr>
        <w:numPr>
          <w:ilvl w:val="0"/>
          <w:numId w:val="2"/>
        </w:numPr>
      </w:pPr>
      <w:r w:rsidRPr="00220887">
        <w:t>Occupational Therapists (for specialist input)</w:t>
      </w:r>
    </w:p>
    <w:p w:rsidRPr="00220887" w:rsidR="00220887" w:rsidP="00220887" w:rsidRDefault="00220887" w14:paraId="5C724876" w14:textId="77777777">
      <w:pPr>
        <w:numPr>
          <w:ilvl w:val="0"/>
          <w:numId w:val="2"/>
        </w:numPr>
      </w:pPr>
      <w:r w:rsidRPr="00220887">
        <w:t>Support staff trained in sensory awareness</w:t>
      </w:r>
    </w:p>
    <w:p w:rsidRPr="00220887" w:rsidR="00220887" w:rsidP="00220887" w:rsidRDefault="00220887" w14:paraId="2752CD41" w14:textId="77777777">
      <w:pPr>
        <w:rPr>
          <w:b/>
          <w:bCs/>
        </w:rPr>
      </w:pPr>
      <w:r w:rsidRPr="00220887">
        <w:rPr>
          <w:b/>
          <w:bCs/>
        </w:rPr>
        <w:t>5. Session Structure</w:t>
      </w:r>
    </w:p>
    <w:p w:rsidRPr="00220887" w:rsidR="00220887" w:rsidP="00220887" w:rsidRDefault="00220887" w14:paraId="2E991027" w14:textId="77777777">
      <w:r w:rsidRPr="00220887">
        <w:t>Sessions may include:</w:t>
      </w:r>
    </w:p>
    <w:p w:rsidRPr="00220887" w:rsidR="00220887" w:rsidP="00220887" w:rsidRDefault="00220887" w14:paraId="410D8454" w14:textId="7BA4D714">
      <w:pPr>
        <w:numPr>
          <w:ilvl w:val="0"/>
          <w:numId w:val="3"/>
        </w:numPr>
      </w:pPr>
      <w:r w:rsidRPr="00220887">
        <w:t>Observation of sensory responses in different environments</w:t>
      </w:r>
      <w:r w:rsidR="00A94E5F">
        <w:t xml:space="preserve"> (e.g., </w:t>
      </w:r>
      <w:hyperlink w:history="1" r:id="rId5">
        <w:r w:rsidRPr="00A94E5F" w:rsidR="00A94E5F">
          <w:rPr>
            <w:rStyle w:val="Hyperlink"/>
          </w:rPr>
          <w:t>ABCD Model</w:t>
        </w:r>
      </w:hyperlink>
      <w:r w:rsidR="00A94E5F">
        <w:t>)</w:t>
      </w:r>
    </w:p>
    <w:p w:rsidRPr="00220887" w:rsidR="00220887" w:rsidP="00220887" w:rsidRDefault="00220887" w14:paraId="3E9A7464" w14:textId="449A53D4">
      <w:pPr>
        <w:numPr>
          <w:ilvl w:val="0"/>
          <w:numId w:val="3"/>
        </w:numPr>
      </w:pPr>
      <w:r w:rsidRPr="00220887">
        <w:t>Use of sensory checklists or profiles</w:t>
      </w:r>
      <w:r w:rsidR="00A94E5F">
        <w:t xml:space="preserve"> (Follow </w:t>
      </w:r>
      <w:hyperlink w:history="1" r:id="rId6">
        <w:r w:rsidRPr="00A94E5F" w:rsidR="00A94E5F">
          <w:rPr>
            <w:rStyle w:val="Hyperlink"/>
          </w:rPr>
          <w:t>this link</w:t>
        </w:r>
      </w:hyperlink>
      <w:r w:rsidR="00A94E5F">
        <w:t xml:space="preserve"> for examples)</w:t>
      </w:r>
    </w:p>
    <w:p w:rsidRPr="00220887" w:rsidR="00220887" w:rsidP="00220887" w:rsidRDefault="00220887" w14:paraId="466FED0E" w14:textId="77777777">
      <w:pPr>
        <w:numPr>
          <w:ilvl w:val="0"/>
          <w:numId w:val="3"/>
        </w:numPr>
      </w:pPr>
      <w:r w:rsidRPr="00220887">
        <w:t>Student-led discussions or visual tools (e.g. emotion thermometers)</w:t>
      </w:r>
    </w:p>
    <w:p w:rsidRPr="00220887" w:rsidR="00220887" w:rsidP="00220887" w:rsidRDefault="00220887" w14:paraId="4EE60BED" w14:textId="5396B671">
      <w:pPr>
        <w:numPr>
          <w:ilvl w:val="0"/>
          <w:numId w:val="3"/>
        </w:numPr>
      </w:pPr>
      <w:r w:rsidRPr="00220887">
        <w:t xml:space="preserve">Implementation of </w:t>
      </w:r>
      <w:hyperlink w:history="1" r:id="rId7">
        <w:r w:rsidRPr="00220887">
          <w:rPr>
            <w:rStyle w:val="Hyperlink"/>
          </w:rPr>
          <w:t>sensory strategies</w:t>
        </w:r>
      </w:hyperlink>
      <w:r w:rsidRPr="00220887">
        <w:t xml:space="preserve"> (e.g. movement breaks, noise-cancelling headphones)</w:t>
      </w:r>
    </w:p>
    <w:p w:rsidRPr="00220887" w:rsidR="00220887" w:rsidP="00220887" w:rsidRDefault="00220887" w14:paraId="6A6454C4" w14:textId="77777777">
      <w:pPr>
        <w:rPr>
          <w:b/>
          <w:bCs/>
        </w:rPr>
      </w:pPr>
      <w:r w:rsidRPr="00220887">
        <w:rPr>
          <w:b/>
          <w:bCs/>
        </w:rPr>
        <w:t>6. Frequency and Duration</w:t>
      </w:r>
    </w:p>
    <w:p w:rsidRPr="00220887" w:rsidR="00220887" w:rsidP="00220887" w:rsidRDefault="00220887" w14:paraId="2614E2F5" w14:textId="77777777">
      <w:pPr>
        <w:numPr>
          <w:ilvl w:val="0"/>
          <w:numId w:val="4"/>
        </w:numPr>
      </w:pPr>
      <w:r w:rsidRPr="00220887">
        <w:t>Initial monitoring: 2–4 weeks of daily observation</w:t>
      </w:r>
    </w:p>
    <w:p w:rsidRPr="00220887" w:rsidR="00220887" w:rsidP="00220887" w:rsidRDefault="00220887" w14:paraId="0A539F3C" w14:textId="77777777">
      <w:pPr>
        <w:numPr>
          <w:ilvl w:val="0"/>
          <w:numId w:val="4"/>
        </w:numPr>
      </w:pPr>
      <w:r w:rsidRPr="00220887">
        <w:t>Ongoing support: Weekly reviews and adjustments</w:t>
      </w:r>
    </w:p>
    <w:p w:rsidRPr="00220887" w:rsidR="00220887" w:rsidP="00220887" w:rsidRDefault="00220887" w14:paraId="45106630" w14:textId="77777777">
      <w:pPr>
        <w:numPr>
          <w:ilvl w:val="0"/>
          <w:numId w:val="4"/>
        </w:numPr>
      </w:pPr>
      <w:r w:rsidRPr="00220887">
        <w:t>Sessions: 10–30 minutes depending on student needs</w:t>
      </w:r>
    </w:p>
    <w:p w:rsidRPr="00220887" w:rsidR="00220887" w:rsidP="00220887" w:rsidRDefault="00220887" w14:paraId="212D0B6B" w14:textId="77777777">
      <w:pPr>
        <w:rPr>
          <w:b/>
          <w:bCs/>
        </w:rPr>
      </w:pPr>
      <w:r w:rsidRPr="00220887">
        <w:rPr>
          <w:b/>
          <w:bCs/>
        </w:rPr>
        <w:lastRenderedPageBreak/>
        <w:t>7. Key Principles</w:t>
      </w:r>
    </w:p>
    <w:p w:rsidRPr="00220887" w:rsidR="00220887" w:rsidP="00220887" w:rsidRDefault="00220887" w14:paraId="581BC264" w14:textId="77777777">
      <w:pPr>
        <w:numPr>
          <w:ilvl w:val="0"/>
          <w:numId w:val="5"/>
        </w:numPr>
      </w:pPr>
      <w:r w:rsidRPr="00220887">
        <w:rPr>
          <w:rFonts w:ascii="Segoe UI Emoji" w:hAnsi="Segoe UI Emoji" w:cs="Segoe UI Emoji"/>
        </w:rPr>
        <w:t>🧩</w:t>
      </w:r>
      <w:r w:rsidRPr="00220887">
        <w:t xml:space="preserve"> Individualized: No one-size-fits-all approach</w:t>
      </w:r>
    </w:p>
    <w:p w:rsidRPr="00220887" w:rsidR="00220887" w:rsidP="00220887" w:rsidRDefault="00220887" w14:paraId="3BFD4AD9" w14:textId="26E1F4BE">
      <w:pPr>
        <w:numPr>
          <w:ilvl w:val="0"/>
          <w:numId w:val="5"/>
        </w:numPr>
      </w:pPr>
      <w:r w:rsidRPr="00220887">
        <w:rPr>
          <w:rFonts w:ascii="Segoe UI Emoji" w:hAnsi="Segoe UI Emoji" w:cs="Segoe UI Emoji"/>
        </w:rPr>
        <w:t>👂</w:t>
      </w:r>
      <w:r w:rsidRPr="00220887">
        <w:t xml:space="preserve"> Listen and observe: Student voice and </w:t>
      </w:r>
      <w:r w:rsidRPr="00220887">
        <w:t>behaviour</w:t>
      </w:r>
      <w:r w:rsidRPr="00220887">
        <w:t xml:space="preserve"> are key indicators</w:t>
      </w:r>
    </w:p>
    <w:p w:rsidRPr="00220887" w:rsidR="00220887" w:rsidP="00220887" w:rsidRDefault="00220887" w14:paraId="7F2D3C79" w14:textId="77777777">
      <w:pPr>
        <w:numPr>
          <w:ilvl w:val="0"/>
          <w:numId w:val="5"/>
        </w:numPr>
      </w:pPr>
      <w:r w:rsidRPr="00220887">
        <w:rPr>
          <w:rFonts w:ascii="Segoe UI Emoji" w:hAnsi="Segoe UI Emoji" w:cs="Segoe UI Emoji"/>
        </w:rPr>
        <w:t>🛠️</w:t>
      </w:r>
      <w:r w:rsidRPr="00220887">
        <w:t xml:space="preserve"> Proactive: Prevent sensory overload before it escalates</w:t>
      </w:r>
    </w:p>
    <w:p w:rsidRPr="00220887" w:rsidR="00220887" w:rsidP="00220887" w:rsidRDefault="00220887" w14:paraId="0575DF67" w14:textId="77777777">
      <w:pPr>
        <w:numPr>
          <w:ilvl w:val="0"/>
          <w:numId w:val="5"/>
        </w:numPr>
      </w:pPr>
      <w:r w:rsidRPr="00220887">
        <w:rPr>
          <w:rFonts w:ascii="Segoe UI Emoji" w:hAnsi="Segoe UI Emoji" w:cs="Segoe UI Emoji"/>
        </w:rPr>
        <w:t>🤝</w:t>
      </w:r>
      <w:r w:rsidRPr="00220887">
        <w:t xml:space="preserve"> Collaborative: Involve families and specialists where possible</w:t>
      </w:r>
    </w:p>
    <w:p w:rsidRPr="00220887" w:rsidR="00220887" w:rsidP="00220887" w:rsidRDefault="00220887" w14:paraId="16082632" w14:textId="77777777">
      <w:pPr>
        <w:rPr>
          <w:b/>
          <w:bCs/>
        </w:rPr>
      </w:pPr>
      <w:r w:rsidRPr="00220887">
        <w:rPr>
          <w:b/>
          <w:bCs/>
        </w:rPr>
        <w:t>8. Training and Implementation</w:t>
      </w:r>
    </w:p>
    <w:p w:rsidRPr="00220887" w:rsidR="00220887" w:rsidP="00220887" w:rsidRDefault="00220887" w14:paraId="51AE1358" w14:textId="77777777">
      <w:r w:rsidRPr="00220887">
        <w:t>Staff should receive basic training in sensory processing and inclusive practices. Implementation should be embedded in daily routines, with clear documentation and communication across the team.</w:t>
      </w:r>
    </w:p>
    <w:p w:rsidRPr="00220887" w:rsidR="00220887" w:rsidP="00220887" w:rsidRDefault="00220887" w14:paraId="1E29063D" w14:textId="77777777">
      <w:pPr>
        <w:rPr>
          <w:b/>
          <w:bCs/>
        </w:rPr>
      </w:pPr>
      <w:r w:rsidRPr="00220887">
        <w:rPr>
          <w:b/>
          <w:bCs/>
        </w:rPr>
        <w:t>9. Evidence and Outcomes</w:t>
      </w:r>
    </w:p>
    <w:p w:rsidRPr="00220887" w:rsidR="00220887" w:rsidP="00220887" w:rsidRDefault="00220887" w14:paraId="26E121E3" w14:textId="77777777">
      <w:r w:rsidRPr="00220887">
        <w:t>Research shows that sensory-informed environments improve attention, reduce anxiety, and support self-regulation. Outcomes may include:</w:t>
      </w:r>
    </w:p>
    <w:p w:rsidRPr="00220887" w:rsidR="00220887" w:rsidP="00220887" w:rsidRDefault="00220887" w14:paraId="25DDBF22" w14:textId="77777777">
      <w:pPr>
        <w:numPr>
          <w:ilvl w:val="0"/>
          <w:numId w:val="6"/>
        </w:numPr>
      </w:pPr>
      <w:r w:rsidRPr="00220887">
        <w:t>Improved classroom participation</w:t>
      </w:r>
    </w:p>
    <w:p w:rsidRPr="00220887" w:rsidR="00220887" w:rsidP="00220887" w:rsidRDefault="00220887" w14:paraId="46FA41A2" w14:textId="534249E5">
      <w:pPr>
        <w:numPr>
          <w:ilvl w:val="0"/>
          <w:numId w:val="6"/>
        </w:numPr>
      </w:pPr>
      <w:r w:rsidRPr="00220887">
        <w:t xml:space="preserve">Reduced </w:t>
      </w:r>
      <w:r w:rsidRPr="00220887" w:rsidR="00A94E5F">
        <w:t>behavioural</w:t>
      </w:r>
      <w:r w:rsidRPr="00220887">
        <w:t xml:space="preserve"> incidents</w:t>
      </w:r>
    </w:p>
    <w:p w:rsidRPr="00220887" w:rsidR="00220887" w:rsidP="00220887" w:rsidRDefault="00220887" w14:paraId="09B4CC3B" w14:textId="77777777">
      <w:pPr>
        <w:numPr>
          <w:ilvl w:val="0"/>
          <w:numId w:val="6"/>
        </w:numPr>
      </w:pPr>
      <w:r w:rsidRPr="00220887">
        <w:t>Enhanced emotional wellbeing</w:t>
      </w:r>
    </w:p>
    <w:p w:rsidRPr="00220887" w:rsidR="00220887" w:rsidP="00220887" w:rsidRDefault="00220887" w14:paraId="780BA7E1" w14:textId="77777777">
      <w:pPr>
        <w:rPr>
          <w:b/>
          <w:bCs/>
        </w:rPr>
      </w:pPr>
      <w:r w:rsidRPr="00220887">
        <w:rPr>
          <w:b/>
          <w:bCs/>
        </w:rPr>
        <w:t>10. Feedback</w:t>
      </w:r>
    </w:p>
    <w:p w:rsidRPr="00220887" w:rsidR="00220887" w:rsidP="00220887" w:rsidRDefault="00220887" w14:paraId="723468A2" w14:textId="77777777">
      <w:r w:rsidRPr="00220887">
        <w:t>Regular feedback should be gathered from:</w:t>
      </w:r>
    </w:p>
    <w:p w:rsidRPr="00220887" w:rsidR="00220887" w:rsidP="00220887" w:rsidRDefault="00220887" w14:paraId="5F9EFF78" w14:textId="77777777">
      <w:pPr>
        <w:numPr>
          <w:ilvl w:val="0"/>
          <w:numId w:val="7"/>
        </w:numPr>
      </w:pPr>
      <w:r w:rsidRPr="00220887">
        <w:t>Students (where possible)</w:t>
      </w:r>
    </w:p>
    <w:p w:rsidRPr="00220887" w:rsidR="00220887" w:rsidP="00220887" w:rsidRDefault="00220887" w14:paraId="71BB78BB" w14:textId="77777777">
      <w:pPr>
        <w:numPr>
          <w:ilvl w:val="0"/>
          <w:numId w:val="7"/>
        </w:numPr>
      </w:pPr>
      <w:r w:rsidRPr="00220887">
        <w:t>Staff involved in delivery</w:t>
      </w:r>
    </w:p>
    <w:p w:rsidR="00A94E5F" w:rsidP="00220887" w:rsidRDefault="00220887" w14:paraId="6E370548" w14:textId="77777777">
      <w:pPr>
        <w:numPr>
          <w:ilvl w:val="0"/>
          <w:numId w:val="7"/>
        </w:numPr>
      </w:pPr>
      <w:r w:rsidRPr="00220887">
        <w:t xml:space="preserve">Parents/carers </w:t>
      </w:r>
    </w:p>
    <w:p w:rsidRPr="00220887" w:rsidR="00220887" w:rsidP="00A94E5F" w:rsidRDefault="00220887" w14:paraId="40138B7B" w14:textId="691F3B68">
      <w:r w:rsidRPr="00220887">
        <w:t>Use this to refine strategies and ensure effectiveness.</w:t>
      </w:r>
    </w:p>
    <w:p w:rsidRPr="00220887" w:rsidR="00220887" w:rsidP="00220887" w:rsidRDefault="00220887" w14:paraId="48DAB6BD" w14:textId="77777777">
      <w:pPr>
        <w:rPr>
          <w:b/>
          <w:bCs/>
        </w:rPr>
      </w:pPr>
      <w:r w:rsidRPr="00220887">
        <w:rPr>
          <w:b/>
          <w:bCs/>
        </w:rPr>
        <w:t>11. Further Information and Resources</w:t>
      </w:r>
    </w:p>
    <w:p w:rsidRPr="00220887" w:rsidR="00220887" w:rsidP="00220887" w:rsidRDefault="00220887" w14:paraId="09A14E53" w14:textId="77777777">
      <w:pPr>
        <w:numPr>
          <w:ilvl w:val="0"/>
          <w:numId w:val="8"/>
        </w:numPr>
      </w:pPr>
      <w:r w:rsidRPr="00220887">
        <w:t>The Sensory Integration Network</w:t>
      </w:r>
    </w:p>
    <w:p w:rsidRPr="00220887" w:rsidR="00220887" w:rsidP="00220887" w:rsidRDefault="00220887" w14:paraId="0C467B94" w14:textId="5D4F800D">
      <w:pPr>
        <w:numPr>
          <w:ilvl w:val="0"/>
          <w:numId w:val="8"/>
        </w:numPr>
      </w:pPr>
      <w:r w:rsidRPr="00220887">
        <w:t>National Autistic Society: Sensory Resources</w:t>
      </w:r>
      <w:r w:rsidR="005D3974">
        <w:t xml:space="preserve"> </w:t>
      </w:r>
      <w:hyperlink w:history="1" r:id="rId8">
        <w:r w:rsidRPr="005D3974" w:rsidR="005D3974">
          <w:rPr>
            <w:rStyle w:val="Hyperlink"/>
          </w:rPr>
          <w:t>Sensory differences - a guide for all audiences</w:t>
        </w:r>
      </w:hyperlink>
    </w:p>
    <w:p w:rsidRPr="00220887" w:rsidR="00220887" w:rsidP="00220887" w:rsidRDefault="00220887" w14:paraId="06FFA3CD" w14:textId="2314C4BD">
      <w:pPr>
        <w:numPr>
          <w:ilvl w:val="0"/>
          <w:numId w:val="8"/>
        </w:numPr>
      </w:pPr>
      <w:r w:rsidRPr="00220887">
        <w:t>Local authority SEND support services</w:t>
      </w:r>
      <w:r w:rsidR="00BD11C5">
        <w:t xml:space="preserve"> </w:t>
      </w:r>
      <w:r w:rsidRPr="00BD11C5" w:rsidR="00BD11C5">
        <w:rPr>
          <w:highlight w:val="yellow"/>
        </w:rPr>
        <w:t>(</w:t>
      </w:r>
      <w:r w:rsidR="00067329">
        <w:rPr>
          <w:highlight w:val="yellow"/>
        </w:rPr>
        <w:t>is this the right</w:t>
      </w:r>
      <w:r w:rsidRPr="00BD11C5" w:rsidR="00BD11C5">
        <w:rPr>
          <w:highlight w:val="yellow"/>
        </w:rPr>
        <w:t xml:space="preserve"> webpage to link to </w:t>
      </w:r>
      <w:r w:rsidR="00B5191D">
        <w:rPr>
          <w:highlight w:val="yellow"/>
        </w:rPr>
        <w:t>w</w:t>
      </w:r>
      <w:r w:rsidRPr="00BD11C5" w:rsidR="00BD11C5">
        <w:rPr>
          <w:highlight w:val="yellow"/>
        </w:rPr>
        <w:t>hat outlines these</w:t>
      </w:r>
      <w:r w:rsidR="00067329">
        <w:t xml:space="preserve"> - </w:t>
      </w:r>
      <w:hyperlink w:history="1" r:id="rId9">
        <w:r w:rsidRPr="00067329" w:rsidR="00067329">
          <w:rPr>
            <w:rStyle w:val="Hyperlink"/>
          </w:rPr>
          <w:t>Special educational needs and disabilities (SEND) and the Local Offer - Suffolk County Council</w:t>
        </w:r>
      </w:hyperlink>
      <w:r w:rsidR="00067329">
        <w:t xml:space="preserve"> )</w:t>
      </w:r>
    </w:p>
    <w:p w:rsidRPr="00220887" w:rsidR="00220887" w:rsidP="00220887" w:rsidRDefault="00220887" w14:paraId="183BAA72" w14:textId="505D7435">
      <w:pPr>
        <w:numPr>
          <w:ilvl w:val="0"/>
          <w:numId w:val="8"/>
        </w:numPr>
      </w:pPr>
      <w:r w:rsidRPr="00220887">
        <w:lastRenderedPageBreak/>
        <w:t>Occupational Therapy referral pathways</w:t>
      </w:r>
      <w:r w:rsidR="00F25C86">
        <w:t xml:space="preserve"> </w:t>
      </w:r>
      <w:r w:rsidRPr="00BD11C5" w:rsidR="00F25C86">
        <w:rPr>
          <w:highlight w:val="yellow"/>
        </w:rPr>
        <w:t xml:space="preserve">(do we link to Abi’s </w:t>
      </w:r>
      <w:r w:rsidR="00BD11C5">
        <w:rPr>
          <w:highlight w:val="yellow"/>
        </w:rPr>
        <w:t>OT web</w:t>
      </w:r>
      <w:r w:rsidRPr="00BD11C5" w:rsidR="00197CF8">
        <w:rPr>
          <w:highlight w:val="yellow"/>
        </w:rPr>
        <w:t>page or our infographic that distinguishes between SES/IFS/OT?</w:t>
      </w:r>
      <w:r w:rsidR="00BD11C5">
        <w:rPr>
          <w:highlight w:val="yellow"/>
        </w:rPr>
        <w:t xml:space="preserve"> – though this isn’t online currently</w:t>
      </w:r>
      <w:r w:rsidRPr="00BD11C5" w:rsidR="00197CF8">
        <w:rPr>
          <w:highlight w:val="yellow"/>
        </w:rPr>
        <w:t>)</w:t>
      </w:r>
    </w:p>
    <w:p w:rsidR="00220887" w:rsidP="00A94E5F" w:rsidRDefault="00220887" w14:paraId="0A426BA1" w14:textId="4076D987">
      <w:pPr>
        <w:numPr>
          <w:ilvl w:val="0"/>
          <w:numId w:val="8"/>
        </w:numPr>
      </w:pPr>
      <w:r w:rsidRPr="00220887">
        <w:t>Books: “The Out-of-Sync Child” by Carol Kranowitz</w:t>
      </w:r>
      <w:r w:rsidR="004C2568">
        <w:t xml:space="preserve"> </w:t>
      </w:r>
      <w:r w:rsidRPr="004C2568" w:rsidR="004C2568">
        <w:rPr>
          <w:highlight w:val="yellow"/>
        </w:rPr>
        <w:t>(do we add more</w:t>
      </w:r>
      <w:r w:rsidR="004C2568">
        <w:rPr>
          <w:highlight w:val="yellow"/>
        </w:rPr>
        <w:t xml:space="preserve"> </w:t>
      </w:r>
      <w:r w:rsidR="00080924">
        <w:rPr>
          <w:highlight w:val="yellow"/>
        </w:rPr>
        <w:t xml:space="preserve">book suggestions </w:t>
      </w:r>
      <w:r w:rsidR="00633631">
        <w:rPr>
          <w:highlight w:val="yellow"/>
        </w:rPr>
        <w:t>specific to moni</w:t>
      </w:r>
      <w:r w:rsidR="00B5191D">
        <w:rPr>
          <w:highlight w:val="yellow"/>
        </w:rPr>
        <w:t xml:space="preserve">toring/audits/etc </w:t>
      </w:r>
      <w:r w:rsidR="004C2568">
        <w:rPr>
          <w:highlight w:val="yellow"/>
        </w:rPr>
        <w:t>or prefer to keep short</w:t>
      </w:r>
      <w:r w:rsidRPr="004C2568" w:rsidR="004C2568">
        <w:rPr>
          <w:highlight w:val="yellow"/>
        </w:rPr>
        <w:t>?)</w:t>
      </w:r>
    </w:p>
    <w:sectPr w:rsidR="002208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42DA2"/>
    <w:multiLevelType w:val="multilevel"/>
    <w:tmpl w:val="A42CA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019FF"/>
    <w:multiLevelType w:val="multilevel"/>
    <w:tmpl w:val="186E7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241B6C"/>
    <w:multiLevelType w:val="multilevel"/>
    <w:tmpl w:val="4E2A3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6A2FD5"/>
    <w:multiLevelType w:val="multilevel"/>
    <w:tmpl w:val="544EB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C0686B"/>
    <w:multiLevelType w:val="multilevel"/>
    <w:tmpl w:val="46188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143FB2"/>
    <w:multiLevelType w:val="hybridMultilevel"/>
    <w:tmpl w:val="A3FEB8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AD4B58"/>
    <w:multiLevelType w:val="multilevel"/>
    <w:tmpl w:val="7F764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370957"/>
    <w:multiLevelType w:val="multilevel"/>
    <w:tmpl w:val="ECF63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5104640">
    <w:abstractNumId w:val="5"/>
  </w:num>
  <w:num w:numId="2" w16cid:durableId="832070752">
    <w:abstractNumId w:val="0"/>
  </w:num>
  <w:num w:numId="3" w16cid:durableId="1897349349">
    <w:abstractNumId w:val="4"/>
  </w:num>
  <w:num w:numId="4" w16cid:durableId="1482120397">
    <w:abstractNumId w:val="3"/>
  </w:num>
  <w:num w:numId="5" w16cid:durableId="645621532">
    <w:abstractNumId w:val="6"/>
  </w:num>
  <w:num w:numId="6" w16cid:durableId="1848323316">
    <w:abstractNumId w:val="7"/>
  </w:num>
  <w:num w:numId="7" w16cid:durableId="1698044642">
    <w:abstractNumId w:val="2"/>
  </w:num>
  <w:num w:numId="8" w16cid:durableId="95105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887"/>
    <w:rsid w:val="00067329"/>
    <w:rsid w:val="00080924"/>
    <w:rsid w:val="00197CF8"/>
    <w:rsid w:val="00220887"/>
    <w:rsid w:val="002A61D3"/>
    <w:rsid w:val="004C2568"/>
    <w:rsid w:val="005D3974"/>
    <w:rsid w:val="00633631"/>
    <w:rsid w:val="008711FE"/>
    <w:rsid w:val="00A94E5F"/>
    <w:rsid w:val="00B5191D"/>
    <w:rsid w:val="00BC63DF"/>
    <w:rsid w:val="00BD11C5"/>
    <w:rsid w:val="00F25C86"/>
    <w:rsid w:val="00F2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1FA81"/>
  <w15:chartTrackingRefBased/>
  <w15:docId w15:val="{34AE94DD-11EA-4FEF-91E6-7681A63F8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08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0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08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08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08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08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08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08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08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08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08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08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08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08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08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08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08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08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08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0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08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08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08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08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08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08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08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08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088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94E5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4E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tism.org.uk/advice-and-guidance/topics/sensory-differences/sensory-differences/all-audiences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suffolk.gov.uk/children-families-and-learning/pts/if/sensory-strategies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uffolk.gov.uk/children-families-and-learning/pts/if/sensor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awBnmQJxBjE&amp;list=PL5mWANqhaX7R0wRnXMWb9k2qZGBk3fK3Q&amp;index=1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uffolk.gov.uk/children-families-and-learning/send-and-the-local-offer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7775EBD653A40B897152B05CC9972" ma:contentTypeVersion="19" ma:contentTypeDescription="Create a new document." ma:contentTypeScope="" ma:versionID="617f00db9ebe33139f8404b03f74b150">
  <xsd:schema xmlns:xsd="http://www.w3.org/2001/XMLSchema" xmlns:xs="http://www.w3.org/2001/XMLSchema" xmlns:p="http://schemas.microsoft.com/office/2006/metadata/properties" xmlns:ns2="b97f7709-dfb7-43a0-b42a-cd354627f020" xmlns:ns3="c87c4431-64f3-4193-a243-315c16951e97" xmlns:ns4="75304046-ffad-4f70-9f4b-bbc776f1b690" targetNamespace="http://schemas.microsoft.com/office/2006/metadata/properties" ma:root="true" ma:fieldsID="ee5f5ce9ec21929f658dd995f9736244" ns2:_="" ns3:_="" ns4:_="">
    <xsd:import namespace="b97f7709-dfb7-43a0-b42a-cd354627f020"/>
    <xsd:import namespace="c87c4431-64f3-4193-a243-315c16951e97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f7709-dfb7-43a0-b42a-cd354627f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c4431-64f3-4193-a243-315c16951e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1ffcd99-7339-4ede-9ff5-841c832ebfe4}" ma:internalName="TaxCatchAll" ma:showField="CatchAllData" ma:web="b97f7709-dfb7-43a0-b42a-cd354627f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7c4431-64f3-4193-a243-315c16951e97">
      <Terms xmlns="http://schemas.microsoft.com/office/infopath/2007/PartnerControls"/>
    </lcf76f155ced4ddcb4097134ff3c332f>
    <TaxCatchAll xmlns="75304046-ffad-4f70-9f4b-bbc776f1b690" xsi:nil="true"/>
  </documentManagement>
</p:properties>
</file>

<file path=customXml/itemProps1.xml><?xml version="1.0" encoding="utf-8"?>
<ds:datastoreItem xmlns:ds="http://schemas.openxmlformats.org/officeDocument/2006/customXml" ds:itemID="{6BED4B99-A61E-4BA1-BE82-B8D9B316ABD3}"/>
</file>

<file path=customXml/itemProps2.xml><?xml version="1.0" encoding="utf-8"?>
<ds:datastoreItem xmlns:ds="http://schemas.openxmlformats.org/officeDocument/2006/customXml" ds:itemID="{007B29EC-E943-4DCC-9E42-AEAB8337CD7D}"/>
</file>

<file path=customXml/itemProps3.xml><?xml version="1.0" encoding="utf-8"?>
<ds:datastoreItem xmlns:ds="http://schemas.openxmlformats.org/officeDocument/2006/customXml" ds:itemID="{85834D95-13ED-469B-8F08-5F19A412AA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monitoring-sensory-needs</dc:title>
  <dc:subject>
  </dc:subject>
  <dc:creator>Katie Thornton</dc:creator>
  <cp:keywords>
  </cp:keywords>
  <dc:description>
  </dc:description>
  <cp:lastModifiedBy>Alice Clarke</cp:lastModifiedBy>
  <cp:revision>10</cp:revision>
  <dcterms:created xsi:type="dcterms:W3CDTF">2025-08-07T07:53:00Z</dcterms:created>
  <dcterms:modified xsi:type="dcterms:W3CDTF">2025-10-29T10:05:24Z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0x01010069D7775EBD653A40B897152B05CC9972</vt:lpwstr>
  </property>
</Properties>
</file>