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6BE" w:rsidP="00E706BE" w:rsidRDefault="00275401" w14:paraId="50D7B52D" w14:textId="3DE4B1CB">
      <w:pPr>
        <w:ind w:left="1440"/>
      </w:pPr>
      <w:r w:rsidRPr="00486B52">
        <w:rPr>
          <w:rFonts w:ascii="Arial" w:hAnsi="Arial" w:cs="Arial"/>
          <w:b/>
          <w:noProof/>
          <w:color w:val="AEAAAA" w:themeColor="background2" w:themeShade="BF"/>
          <w:sz w:val="28"/>
          <w:szCs w:val="28"/>
        </w:rPr>
        <w:drawing>
          <wp:anchor distT="0" distB="0" distL="114300" distR="114300" simplePos="0" relativeHeight="251659264" behindDoc="1" locked="0" layoutInCell="1" allowOverlap="1" wp14:editId="69FA9A1C" wp14:anchorId="2C71BB26">
            <wp:simplePos x="0" y="0"/>
            <wp:positionH relativeFrom="margin">
              <wp:posOffset>4330700</wp:posOffset>
            </wp:positionH>
            <wp:positionV relativeFrom="page">
              <wp:posOffset>628015</wp:posOffset>
            </wp:positionV>
            <wp:extent cx="1619885" cy="494665"/>
            <wp:effectExtent l="0" t="0" r="0" b="635"/>
            <wp:wrapTight wrapText="bothSides">
              <wp:wrapPolygon edited="0">
                <wp:start x="0" y="0"/>
                <wp:lineTo x="0" y="20796"/>
                <wp:lineTo x="21338" y="20796"/>
                <wp:lineTo x="21338" y="0"/>
                <wp:lineTo x="0" y="0"/>
              </wp:wrapPolygon>
            </wp:wrapTight>
            <wp:docPr id="4" name="Picture 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sign&#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pic:spPr>
                </pic:pic>
              </a:graphicData>
            </a:graphic>
            <wp14:sizeRelH relativeFrom="page">
              <wp14:pctWidth>0</wp14:pctWidth>
            </wp14:sizeRelH>
            <wp14:sizeRelV relativeFrom="page">
              <wp14:pctHeight>0</wp14:pctHeight>
            </wp14:sizeRelV>
          </wp:anchor>
        </w:drawing>
      </w:r>
      <w:r w:rsidR="00E706BE">
        <w:t xml:space="preserve">                                                                                                                </w:t>
      </w:r>
    </w:p>
    <w:p w:rsidR="00E706BE" w:rsidP="00E706BE" w:rsidRDefault="00E706BE" w14:paraId="1FDFCB2E" w14:textId="2F21C739"/>
    <w:p w:rsidR="00E706BE" w:rsidP="00E706BE" w:rsidRDefault="00930E5C" w14:paraId="4C5C7487" w14:textId="63888EC5">
      <w:pPr>
        <w:rPr>
          <w:sz w:val="24"/>
          <w:szCs w:val="24"/>
        </w:rPr>
      </w:pPr>
      <w:r>
        <w:rPr>
          <w:sz w:val="24"/>
          <w:szCs w:val="24"/>
        </w:rPr>
        <w:t xml:space="preserve">                                                                                                                                    </w:t>
      </w:r>
      <w:r>
        <w:rPr>
          <w:noProof/>
          <w:sz w:val="24"/>
          <w:szCs w:val="24"/>
        </w:rPr>
        <w:drawing>
          <wp:inline distT="0" distB="0" distL="0" distR="0" wp14:anchorId="5D0378E1" wp14:editId="7C6F50AB">
            <wp:extent cx="847725" cy="786765"/>
            <wp:effectExtent l="0" t="0" r="9525" b="0"/>
            <wp:docPr id="1670021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786765"/>
                    </a:xfrm>
                    <a:prstGeom prst="rect">
                      <a:avLst/>
                    </a:prstGeom>
                    <a:noFill/>
                  </pic:spPr>
                </pic:pic>
              </a:graphicData>
            </a:graphic>
          </wp:inline>
        </w:drawing>
      </w:r>
    </w:p>
    <w:p w:rsidRPr="00930E5C" w:rsidR="00930E5C" w:rsidP="00930E5C" w:rsidRDefault="00930E5C" w14:paraId="4F52DF85" w14:textId="2D3B01DC">
      <w:pPr>
        <w:rPr>
          <w:sz w:val="16"/>
          <w:szCs w:val="16"/>
        </w:rPr>
      </w:pPr>
      <w:r w:rsidRPr="00930E5C">
        <w:rPr>
          <w:sz w:val="16"/>
          <w:szCs w:val="16"/>
        </w:rPr>
        <w:t xml:space="preserve">                                                                                                           </w:t>
      </w:r>
    </w:p>
    <w:tbl>
      <w:tblPr>
        <w:tblStyle w:val="TableGrid"/>
        <w:tblW w:w="9918" w:type="dxa"/>
        <w:tblLook w:val="04A0" w:firstRow="1" w:lastRow="0" w:firstColumn="1" w:lastColumn="0" w:noHBand="0" w:noVBand="1"/>
      </w:tblPr>
      <w:tblGrid>
        <w:gridCol w:w="2972"/>
        <w:gridCol w:w="6946"/>
      </w:tblGrid>
      <w:tr w:rsidRPr="00331FA6" w:rsidR="00930E5C" w:rsidTr="006426B5" w14:paraId="6CEAB765" w14:textId="77777777">
        <w:tc>
          <w:tcPr>
            <w:tcW w:w="2972" w:type="dxa"/>
          </w:tcPr>
          <w:p w:rsidRPr="00331FA6" w:rsidR="00930E5C" w:rsidP="006426B5" w:rsidRDefault="00930E5C" w14:paraId="3403317E" w14:textId="77777777">
            <w:pPr>
              <w:tabs>
                <w:tab w:val="center" w:pos="1877"/>
                <w:tab w:val="center" w:pos="2881"/>
                <w:tab w:val="center" w:pos="3600"/>
                <w:tab w:val="center" w:pos="5091"/>
              </w:tabs>
              <w:spacing w:after="2" w:line="261" w:lineRule="auto"/>
              <w:rPr>
                <w:rFonts w:ascii="Arial" w:hAnsi="Arial" w:eastAsia="Times New Roman" w:cs="Arial"/>
                <w:color w:val="000000"/>
                <w:sz w:val="16"/>
                <w:szCs w:val="16"/>
              </w:rPr>
            </w:pPr>
            <w:r w:rsidRPr="00331FA6">
              <w:rPr>
                <w:rFonts w:ascii="Arial" w:hAnsi="Arial" w:eastAsia="Times New Roman" w:cs="Arial"/>
                <w:color w:val="000000"/>
                <w:sz w:val="16"/>
                <w:szCs w:val="16"/>
              </w:rPr>
              <w:t>Version</w:t>
            </w:r>
          </w:p>
        </w:tc>
        <w:tc>
          <w:tcPr>
            <w:tcW w:w="6946" w:type="dxa"/>
          </w:tcPr>
          <w:p w:rsidRPr="00331FA6" w:rsidR="00930E5C" w:rsidP="006426B5" w:rsidRDefault="00930E5C" w14:paraId="798E8E01" w14:textId="77777777">
            <w:pPr>
              <w:tabs>
                <w:tab w:val="center" w:pos="1877"/>
                <w:tab w:val="center" w:pos="2881"/>
                <w:tab w:val="center" w:pos="3600"/>
                <w:tab w:val="center" w:pos="5091"/>
              </w:tabs>
              <w:spacing w:after="2" w:line="261" w:lineRule="auto"/>
              <w:rPr>
                <w:rFonts w:ascii="Arial" w:hAnsi="Arial" w:eastAsia="Times New Roman" w:cs="Arial"/>
                <w:color w:val="000000"/>
                <w:sz w:val="16"/>
                <w:szCs w:val="16"/>
              </w:rPr>
            </w:pPr>
            <w:r w:rsidRPr="00930E5C">
              <w:rPr>
                <w:rFonts w:ascii="Arial" w:hAnsi="Arial" w:eastAsia="Times New Roman" w:cs="Arial"/>
                <w:color w:val="000000"/>
                <w:sz w:val="16"/>
                <w:szCs w:val="16"/>
              </w:rPr>
              <w:t>2</w:t>
            </w:r>
          </w:p>
        </w:tc>
      </w:tr>
      <w:tr w:rsidRPr="00331FA6" w:rsidR="00930E5C" w:rsidTr="006426B5" w14:paraId="0A954819" w14:textId="77777777">
        <w:tc>
          <w:tcPr>
            <w:tcW w:w="2972" w:type="dxa"/>
          </w:tcPr>
          <w:p w:rsidRPr="00331FA6" w:rsidR="00930E5C" w:rsidP="006426B5" w:rsidRDefault="00930E5C" w14:paraId="038A816D" w14:textId="77777777">
            <w:pPr>
              <w:tabs>
                <w:tab w:val="center" w:pos="1877"/>
                <w:tab w:val="center" w:pos="2881"/>
                <w:tab w:val="center" w:pos="3600"/>
                <w:tab w:val="center" w:pos="5091"/>
              </w:tabs>
              <w:spacing w:after="2" w:line="261" w:lineRule="auto"/>
              <w:rPr>
                <w:rFonts w:ascii="Arial" w:hAnsi="Arial" w:eastAsia="Times New Roman" w:cs="Arial"/>
                <w:color w:val="000000"/>
                <w:sz w:val="16"/>
                <w:szCs w:val="16"/>
              </w:rPr>
            </w:pPr>
            <w:r w:rsidRPr="00331FA6">
              <w:rPr>
                <w:rFonts w:ascii="Arial" w:hAnsi="Arial" w:eastAsia="Times New Roman" w:cs="Arial"/>
                <w:color w:val="000000"/>
                <w:sz w:val="16"/>
                <w:szCs w:val="16"/>
              </w:rPr>
              <w:t>Date</w:t>
            </w:r>
          </w:p>
        </w:tc>
        <w:tc>
          <w:tcPr>
            <w:tcW w:w="6946" w:type="dxa"/>
          </w:tcPr>
          <w:p w:rsidRPr="00331FA6" w:rsidR="00930E5C" w:rsidP="006426B5" w:rsidRDefault="00930E5C" w14:paraId="7393DD14" w14:textId="77777777">
            <w:pPr>
              <w:tabs>
                <w:tab w:val="center" w:pos="1877"/>
                <w:tab w:val="center" w:pos="2881"/>
                <w:tab w:val="center" w:pos="3600"/>
                <w:tab w:val="center" w:pos="5091"/>
              </w:tabs>
              <w:spacing w:after="2" w:line="261" w:lineRule="auto"/>
              <w:rPr>
                <w:rFonts w:ascii="Arial" w:hAnsi="Arial" w:eastAsia="Times New Roman" w:cs="Arial"/>
                <w:color w:val="000000"/>
                <w:sz w:val="16"/>
                <w:szCs w:val="16"/>
              </w:rPr>
            </w:pPr>
            <w:r w:rsidRPr="00930E5C">
              <w:rPr>
                <w:rFonts w:ascii="Arial" w:hAnsi="Arial" w:eastAsia="Times New Roman" w:cs="Arial"/>
                <w:color w:val="000000"/>
                <w:sz w:val="16"/>
                <w:szCs w:val="16"/>
              </w:rPr>
              <w:t>Reviewed March</w:t>
            </w:r>
            <w:r w:rsidRPr="00331FA6">
              <w:rPr>
                <w:rFonts w:ascii="Arial" w:hAnsi="Arial" w:eastAsia="Times New Roman" w:cs="Arial"/>
                <w:color w:val="000000"/>
                <w:sz w:val="16"/>
                <w:szCs w:val="16"/>
              </w:rPr>
              <w:t xml:space="preserve"> 2024</w:t>
            </w:r>
          </w:p>
        </w:tc>
      </w:tr>
    </w:tbl>
    <w:p w:rsidR="00B65241" w:rsidP="002C627C" w:rsidRDefault="00B65241" w14:paraId="171440FA" w14:textId="77777777">
      <w:pPr>
        <w:jc w:val="center"/>
        <w:rPr>
          <w:rFonts w:ascii="Arial" w:hAnsi="Arial" w:cs="Arial"/>
          <w:b/>
          <w:bCs/>
          <w:sz w:val="24"/>
          <w:szCs w:val="24"/>
        </w:rPr>
      </w:pPr>
    </w:p>
    <w:p w:rsidRPr="00930E5C" w:rsidR="00E706BE" w:rsidP="002C627C" w:rsidRDefault="00E706BE" w14:paraId="3B1C3558" w14:textId="4BC31BF4">
      <w:pPr>
        <w:jc w:val="center"/>
        <w:rPr>
          <w:rFonts w:ascii="Arial" w:hAnsi="Arial" w:cs="Arial"/>
          <w:b/>
          <w:bCs/>
          <w:sz w:val="24"/>
          <w:szCs w:val="24"/>
        </w:rPr>
      </w:pPr>
      <w:r w:rsidRPr="00930E5C">
        <w:rPr>
          <w:rFonts w:ascii="Arial" w:hAnsi="Arial" w:cs="Arial"/>
          <w:b/>
          <w:bCs/>
          <w:sz w:val="24"/>
          <w:szCs w:val="24"/>
        </w:rPr>
        <w:t>Information from Suffolk County Council</w:t>
      </w:r>
      <w:r w:rsidR="00B02991">
        <w:rPr>
          <w:rFonts w:ascii="Arial" w:hAnsi="Arial" w:cs="Arial"/>
          <w:b/>
          <w:bCs/>
          <w:sz w:val="24"/>
          <w:szCs w:val="24"/>
        </w:rPr>
        <w:t>,</w:t>
      </w:r>
      <w:r w:rsidRPr="00930E5C">
        <w:rPr>
          <w:rFonts w:ascii="Arial" w:hAnsi="Arial" w:cs="Arial"/>
          <w:b/>
          <w:bCs/>
          <w:sz w:val="24"/>
          <w:szCs w:val="24"/>
        </w:rPr>
        <w:t xml:space="preserve"> </w:t>
      </w:r>
      <w:r w:rsidRPr="00930E5C" w:rsidR="0044758B">
        <w:rPr>
          <w:rFonts w:ascii="Arial" w:hAnsi="Arial" w:cs="Arial"/>
          <w:b/>
          <w:bCs/>
          <w:sz w:val="24"/>
          <w:szCs w:val="24"/>
        </w:rPr>
        <w:t xml:space="preserve">for potential residents on </w:t>
      </w:r>
      <w:r w:rsidRPr="00930E5C" w:rsidR="002C627C">
        <w:rPr>
          <w:rFonts w:ascii="Arial" w:hAnsi="Arial" w:cs="Arial"/>
          <w:b/>
          <w:bCs/>
          <w:sz w:val="24"/>
          <w:szCs w:val="24"/>
        </w:rPr>
        <w:t xml:space="preserve">the </w:t>
      </w:r>
      <w:r w:rsidRPr="00930E5C">
        <w:rPr>
          <w:rFonts w:ascii="Arial" w:hAnsi="Arial" w:cs="Arial"/>
          <w:b/>
          <w:bCs/>
          <w:sz w:val="24"/>
          <w:szCs w:val="24"/>
        </w:rPr>
        <w:t>Council</w:t>
      </w:r>
      <w:r w:rsidRPr="00930E5C" w:rsidR="0044758B">
        <w:rPr>
          <w:rFonts w:ascii="Arial" w:hAnsi="Arial" w:cs="Arial"/>
          <w:b/>
          <w:bCs/>
          <w:sz w:val="24"/>
          <w:szCs w:val="24"/>
        </w:rPr>
        <w:t>’s</w:t>
      </w:r>
      <w:r w:rsidRPr="00930E5C">
        <w:rPr>
          <w:rFonts w:ascii="Arial" w:hAnsi="Arial" w:cs="Arial"/>
          <w:b/>
          <w:bCs/>
          <w:sz w:val="24"/>
          <w:szCs w:val="24"/>
        </w:rPr>
        <w:t xml:space="preserve"> published care </w:t>
      </w:r>
      <w:r w:rsidRPr="00930E5C" w:rsidR="0044758B">
        <w:rPr>
          <w:rFonts w:ascii="Arial" w:hAnsi="Arial" w:cs="Arial"/>
          <w:b/>
          <w:bCs/>
          <w:sz w:val="24"/>
          <w:szCs w:val="24"/>
        </w:rPr>
        <w:t xml:space="preserve">home </w:t>
      </w:r>
      <w:r w:rsidRPr="00930E5C">
        <w:rPr>
          <w:rFonts w:ascii="Arial" w:hAnsi="Arial" w:cs="Arial"/>
          <w:b/>
          <w:bCs/>
          <w:sz w:val="24"/>
          <w:szCs w:val="24"/>
        </w:rPr>
        <w:t>rates.</w:t>
      </w:r>
    </w:p>
    <w:p w:rsidRPr="00930E5C" w:rsidR="00E706BE" w:rsidP="00A340D6" w:rsidRDefault="00E706BE" w14:paraId="15D9746C" w14:textId="423D0FA4">
      <w:pPr>
        <w:spacing w:after="0"/>
        <w:rPr>
          <w:rFonts w:ascii="Arial" w:hAnsi="Arial" w:cs="Arial"/>
        </w:rPr>
      </w:pPr>
      <w:r w:rsidRPr="00930E5C">
        <w:rPr>
          <w:rFonts w:ascii="Arial" w:hAnsi="Arial" w:cs="Arial"/>
        </w:rPr>
        <w:t>If you are considering moving to a residential or nursing care home, how you will pay for your care home place is an important consideration.</w:t>
      </w:r>
    </w:p>
    <w:p w:rsidRPr="00930E5C" w:rsidR="0044758B" w:rsidP="00A340D6" w:rsidRDefault="0044758B" w14:paraId="4D39DDAA" w14:textId="77777777">
      <w:pPr>
        <w:spacing w:after="0"/>
        <w:rPr>
          <w:rFonts w:ascii="Arial" w:hAnsi="Arial" w:cs="Arial"/>
        </w:rPr>
      </w:pPr>
    </w:p>
    <w:p w:rsidRPr="00090C32" w:rsidR="00B02991" w:rsidP="00A340D6" w:rsidRDefault="00E706BE" w14:paraId="2FC33B46" w14:textId="4496D957">
      <w:pPr>
        <w:spacing w:after="0"/>
        <w:rPr>
          <w:rFonts w:ascii="Arial" w:hAnsi="Arial" w:cs="Arial"/>
        </w:rPr>
      </w:pPr>
      <w:r w:rsidRPr="00930E5C">
        <w:rPr>
          <w:rFonts w:ascii="Arial" w:hAnsi="Arial" w:cs="Arial"/>
        </w:rPr>
        <w:t>You will pay for your care home place privately until your savings fall below £23,250. This is the amount the Government sets as the threshold for getting help towards the cost of your care.</w:t>
      </w:r>
      <w:r w:rsidR="00B02991">
        <w:rPr>
          <w:rFonts w:ascii="Arial" w:hAnsi="Arial" w:cs="Arial"/>
        </w:rPr>
        <w:t xml:space="preserve"> </w:t>
      </w:r>
      <w:r w:rsidRPr="00090C32" w:rsidR="00B02991">
        <w:rPr>
          <w:rFonts w:ascii="Arial" w:hAnsi="Arial" w:cs="Arial"/>
          <w:color w:val="474747"/>
          <w:shd w:val="clear" w:color="auto" w:fill="FFFFFF"/>
        </w:rPr>
        <w:t xml:space="preserve">An exception is if you have been discharged from certain sections of the Mental Health Act 1983 </w:t>
      </w:r>
      <w:r w:rsidR="007A7A9B">
        <w:rPr>
          <w:rFonts w:ascii="Arial" w:hAnsi="Arial" w:cs="Arial"/>
          <w:color w:val="474747"/>
          <w:shd w:val="clear" w:color="auto" w:fill="FFFFFF"/>
        </w:rPr>
        <w:t xml:space="preserve">and are eligible for </w:t>
      </w:r>
      <w:r w:rsidRPr="00090C32" w:rsidR="00B02991">
        <w:rPr>
          <w:rFonts w:ascii="Arial" w:hAnsi="Arial" w:cs="Arial"/>
          <w:color w:val="474747"/>
          <w:shd w:val="clear" w:color="auto" w:fill="FFFFFF"/>
        </w:rPr>
        <w:t>Section 117</w:t>
      </w:r>
      <w:r w:rsidR="007A7A9B">
        <w:rPr>
          <w:rFonts w:ascii="Arial" w:hAnsi="Arial" w:cs="Arial"/>
          <w:color w:val="474747"/>
          <w:shd w:val="clear" w:color="auto" w:fill="FFFFFF"/>
        </w:rPr>
        <w:t xml:space="preserve"> aftercare funding, where your</w:t>
      </w:r>
      <w:r w:rsidRPr="00090C32" w:rsidR="00B02991">
        <w:rPr>
          <w:rFonts w:ascii="Arial" w:hAnsi="Arial" w:cs="Arial"/>
          <w:color w:val="474747"/>
          <w:shd w:val="clear" w:color="auto" w:fill="FFFFFF"/>
        </w:rPr>
        <w:t xml:space="preserve"> costs for the care home may be free</w:t>
      </w:r>
      <w:r w:rsidR="00090C32">
        <w:rPr>
          <w:rFonts w:ascii="Arial" w:hAnsi="Arial" w:cs="Arial"/>
        </w:rPr>
        <w:t>.</w:t>
      </w:r>
    </w:p>
    <w:p w:rsidRPr="00930E5C" w:rsidR="00930E5C" w:rsidP="00A340D6" w:rsidRDefault="00930E5C" w14:paraId="1B670C76" w14:textId="77777777">
      <w:pPr>
        <w:spacing w:after="0"/>
        <w:rPr>
          <w:rFonts w:ascii="Arial" w:hAnsi="Arial" w:cs="Arial"/>
        </w:rPr>
      </w:pPr>
    </w:p>
    <w:p w:rsidRPr="00930E5C" w:rsidR="00E706BE" w:rsidP="00A340D6" w:rsidRDefault="00E706BE" w14:paraId="4A188FB8" w14:textId="1ED50D87">
      <w:pPr>
        <w:spacing w:after="0"/>
        <w:rPr>
          <w:rFonts w:ascii="Arial" w:hAnsi="Arial" w:cs="Arial"/>
        </w:rPr>
      </w:pPr>
      <w:r w:rsidRPr="00930E5C">
        <w:rPr>
          <w:rFonts w:ascii="Arial" w:hAnsi="Arial" w:cs="Arial"/>
        </w:rPr>
        <w:t>Your savings will normally include the value of your property, unless the Council ignore its value because, for instance, your partner still lives there.</w:t>
      </w:r>
    </w:p>
    <w:p w:rsidR="00B65241" w:rsidP="00AE181D" w:rsidRDefault="00B65241" w14:paraId="490E8BC1" w14:textId="77777777">
      <w:pPr>
        <w:spacing w:after="0"/>
        <w:rPr>
          <w:rFonts w:ascii="Arial" w:hAnsi="Arial" w:cs="Arial"/>
        </w:rPr>
      </w:pPr>
    </w:p>
    <w:p w:rsidRPr="00930E5C" w:rsidR="00EC1F03" w:rsidP="00E706BE" w:rsidRDefault="00EC1F03" w14:paraId="24330B1D" w14:textId="258A6341">
      <w:pPr>
        <w:rPr>
          <w:rFonts w:ascii="Arial" w:hAnsi="Arial" w:cs="Arial"/>
        </w:rPr>
      </w:pPr>
      <w:r w:rsidRPr="00930E5C">
        <w:rPr>
          <w:rFonts w:ascii="Arial" w:hAnsi="Arial" w:cs="Arial"/>
        </w:rPr>
        <w:t>Care providers will generally expect confirmation that you have funding equivalent to 2 years private funding before accepting your placement</w:t>
      </w:r>
      <w:r w:rsidRPr="00930E5C" w:rsidR="00275401">
        <w:rPr>
          <w:rFonts w:ascii="Arial" w:hAnsi="Arial" w:cs="Arial"/>
        </w:rPr>
        <w:t>.</w:t>
      </w:r>
    </w:p>
    <w:p w:rsidR="00A340D6" w:rsidP="00A340D6" w:rsidRDefault="00E706BE" w14:paraId="7D19E281" w14:textId="0716283B">
      <w:pPr>
        <w:rPr>
          <w:rFonts w:ascii="Arial" w:hAnsi="Arial" w:cs="Arial"/>
          <w:b/>
          <w:bCs/>
        </w:rPr>
      </w:pPr>
      <w:r w:rsidRPr="00930E5C">
        <w:rPr>
          <w:rFonts w:ascii="Arial" w:hAnsi="Arial" w:cs="Arial"/>
        </w:rPr>
        <w:t>You will need to apply to the Council for help with funding just before your savings fall below</w:t>
      </w:r>
      <w:r w:rsidRPr="00930E5C" w:rsidR="00AD4C99">
        <w:rPr>
          <w:rFonts w:ascii="Arial" w:hAnsi="Arial" w:cs="Arial"/>
        </w:rPr>
        <w:t xml:space="preserve"> </w:t>
      </w:r>
      <w:r w:rsidRPr="00930E5C">
        <w:rPr>
          <w:rFonts w:ascii="Arial" w:hAnsi="Arial" w:cs="Arial"/>
        </w:rPr>
        <w:t>£23,250.</w:t>
      </w:r>
      <w:r w:rsidRPr="00930E5C" w:rsidR="00A9065F">
        <w:rPr>
          <w:rFonts w:ascii="Arial" w:hAnsi="Arial" w:cs="Arial"/>
        </w:rPr>
        <w:t xml:space="preserve"> </w:t>
      </w:r>
      <w:r w:rsidRPr="00930E5C" w:rsidR="00301920">
        <w:rPr>
          <w:rFonts w:ascii="Arial" w:hAnsi="Arial" w:cs="Arial"/>
        </w:rPr>
        <w:t>We advise contact</w:t>
      </w:r>
      <w:r w:rsidRPr="00930E5C" w:rsidR="00E81C43">
        <w:rPr>
          <w:rFonts w:ascii="Arial" w:hAnsi="Arial" w:cs="Arial"/>
        </w:rPr>
        <w:t>ing</w:t>
      </w:r>
      <w:r w:rsidRPr="00930E5C" w:rsidR="00301920">
        <w:rPr>
          <w:rFonts w:ascii="Arial" w:hAnsi="Arial" w:cs="Arial"/>
        </w:rPr>
        <w:t xml:space="preserve"> us when </w:t>
      </w:r>
      <w:r w:rsidRPr="00930E5C" w:rsidR="00E81C43">
        <w:rPr>
          <w:rFonts w:ascii="Arial" w:hAnsi="Arial" w:cs="Arial"/>
        </w:rPr>
        <w:t xml:space="preserve">your savings/capital </w:t>
      </w:r>
      <w:r w:rsidRPr="00930E5C" w:rsidR="00301920">
        <w:rPr>
          <w:rFonts w:ascii="Arial" w:hAnsi="Arial" w:cs="Arial"/>
        </w:rPr>
        <w:t>are close to £30,000</w:t>
      </w:r>
      <w:r w:rsidRPr="00930E5C" w:rsidR="00E81C43">
        <w:rPr>
          <w:rFonts w:ascii="Arial" w:hAnsi="Arial" w:cs="Arial"/>
        </w:rPr>
        <w:t>. This gives Suffolk County Council time to complete your financial assessment and social work assessment before you fall below the threshold</w:t>
      </w:r>
      <w:r w:rsidRPr="00930E5C" w:rsidR="00AD4C99">
        <w:rPr>
          <w:rFonts w:ascii="Arial" w:hAnsi="Arial" w:cs="Arial"/>
        </w:rPr>
        <w:t>.</w:t>
      </w:r>
      <w:r w:rsidRPr="00930E5C" w:rsidR="00A340D6">
        <w:rPr>
          <w:rFonts w:ascii="Arial" w:hAnsi="Arial" w:cs="Arial"/>
        </w:rPr>
        <w:t xml:space="preserve"> </w:t>
      </w:r>
      <w:r w:rsidRPr="00930E5C" w:rsidR="00A340D6">
        <w:rPr>
          <w:rFonts w:ascii="Arial" w:hAnsi="Arial" w:cs="Arial"/>
          <w:b/>
          <w:bCs/>
        </w:rPr>
        <w:t xml:space="preserve">Contact - Customer First </w:t>
      </w:r>
      <w:r w:rsidRPr="00B65241" w:rsidR="00B65241">
        <w:rPr>
          <w:rFonts w:ascii="Arial" w:hAnsi="Arial" w:cs="Arial"/>
          <w:b/>
          <w:bCs/>
        </w:rPr>
        <w:t>0800 917 1109</w:t>
      </w:r>
    </w:p>
    <w:p w:rsidRPr="00930E5C" w:rsidR="00090C32" w:rsidP="00A340D6" w:rsidRDefault="00090C32" w14:paraId="42F03FE1" w14:textId="277387B6">
      <w:pPr>
        <w:rPr>
          <w:rFonts w:ascii="Arial" w:hAnsi="Arial" w:cs="Arial"/>
        </w:rPr>
      </w:pPr>
      <w:r w:rsidRPr="00090C32">
        <w:rPr>
          <w:rFonts w:ascii="Arial" w:hAnsi="Arial" w:cs="Arial"/>
        </w:rPr>
        <w:t>The Council will visit you to assess your care needs to work out whether you are able to get help with the cost of your care home. If the outcome of their assessment is that you do not need the care that you are currently getting, then you may not be able to receive help with some or possibly any, of the cost.</w:t>
      </w:r>
    </w:p>
    <w:p w:rsidRPr="00930E5C" w:rsidR="00E706BE" w:rsidP="00E706BE" w:rsidRDefault="00E706BE" w14:paraId="2A4EEE3F" w14:textId="6861A927">
      <w:pPr>
        <w:rPr>
          <w:rFonts w:ascii="Arial" w:hAnsi="Arial" w:cs="Arial"/>
        </w:rPr>
      </w:pPr>
      <w:r w:rsidRPr="00930E5C">
        <w:rPr>
          <w:rFonts w:ascii="Arial" w:hAnsi="Arial" w:cs="Arial"/>
        </w:rPr>
        <w:t xml:space="preserve"> There are some important things to remember:</w:t>
      </w:r>
    </w:p>
    <w:p w:rsidRPr="00930E5C" w:rsidR="00E706BE" w:rsidP="0044758B" w:rsidRDefault="00E706BE" w14:paraId="419E8B85" w14:textId="1B595EBA">
      <w:pPr>
        <w:ind w:left="720"/>
        <w:rPr>
          <w:rFonts w:ascii="Arial" w:hAnsi="Arial" w:cs="Arial"/>
        </w:rPr>
      </w:pPr>
      <w:r w:rsidRPr="00930E5C">
        <w:rPr>
          <w:rFonts w:ascii="Arial" w:hAnsi="Arial" w:cs="Arial"/>
        </w:rPr>
        <w:t>The Council only pay part of the cost of your care home. You will have a financial assessment to work out how much you have to pay towards the cost yourself. The Council call this your ‘personal contribution.’ The financial assessment will normally mean that you will be left with about £25 per week of your income as your personal expenses when you are living in a care home.</w:t>
      </w:r>
    </w:p>
    <w:p w:rsidRPr="00930E5C" w:rsidR="00E706BE" w:rsidP="00D54E3C" w:rsidRDefault="00E706BE" w14:paraId="3A45F259" w14:textId="04AC5264">
      <w:pPr>
        <w:ind w:left="720"/>
        <w:rPr>
          <w:rFonts w:ascii="Arial" w:hAnsi="Arial" w:cs="Arial"/>
        </w:rPr>
      </w:pPr>
      <w:r w:rsidRPr="00930E5C">
        <w:rPr>
          <w:rFonts w:ascii="Arial" w:hAnsi="Arial" w:cs="Arial"/>
        </w:rPr>
        <w:t xml:space="preserve">The Council has agreed standard rates for the cost of care in care </w:t>
      </w:r>
      <w:proofErr w:type="spellStart"/>
      <w:proofErr w:type="gramStart"/>
      <w:r w:rsidRPr="00930E5C">
        <w:rPr>
          <w:rFonts w:ascii="Arial" w:hAnsi="Arial" w:cs="Arial"/>
        </w:rPr>
        <w:t>homes</w:t>
      </w:r>
      <w:r w:rsidRPr="00930E5C" w:rsidR="00AD4C99">
        <w:rPr>
          <w:rFonts w:ascii="Arial" w:hAnsi="Arial" w:cs="Arial"/>
        </w:rPr>
        <w:t>.</w:t>
      </w:r>
      <w:r w:rsidRPr="00930E5C">
        <w:rPr>
          <w:rFonts w:ascii="Arial" w:hAnsi="Arial" w:cs="Arial"/>
        </w:rPr>
        <w:t>The</w:t>
      </w:r>
      <w:proofErr w:type="spellEnd"/>
      <w:proofErr w:type="gramEnd"/>
      <w:r w:rsidRPr="00930E5C">
        <w:rPr>
          <w:rFonts w:ascii="Arial" w:hAnsi="Arial" w:cs="Arial"/>
        </w:rPr>
        <w:t xml:space="preserve"> Council will normally look to keep you at your current care home if they agree that you need care in a care home, that the home you are living in is suitable to meet your needs</w:t>
      </w:r>
      <w:r w:rsidR="007A7A9B">
        <w:rPr>
          <w:rFonts w:ascii="Arial" w:hAnsi="Arial" w:cs="Arial"/>
        </w:rPr>
        <w:t>,</w:t>
      </w:r>
      <w:r w:rsidRPr="00930E5C">
        <w:rPr>
          <w:rFonts w:ascii="Arial" w:hAnsi="Arial" w:cs="Arial"/>
        </w:rPr>
        <w:t xml:space="preserve"> and your care home will accept the Council’s published care rates. </w:t>
      </w:r>
    </w:p>
    <w:p w:rsidR="00352676" w:rsidP="0044758B" w:rsidRDefault="00E706BE" w14:paraId="3FCD31AD" w14:textId="5528CDEE">
      <w:pPr>
        <w:spacing w:after="0"/>
        <w:ind w:left="720"/>
        <w:rPr>
          <w:rFonts w:ascii="Arial" w:hAnsi="Arial" w:cs="Arial"/>
        </w:rPr>
      </w:pPr>
      <w:r w:rsidRPr="00930E5C">
        <w:rPr>
          <w:rFonts w:ascii="Arial" w:hAnsi="Arial" w:cs="Arial"/>
        </w:rPr>
        <w:lastRenderedPageBreak/>
        <w:t xml:space="preserve">If the home does not accept the Council’s published care rates, there may be a need for a top up payment to be made to meet the rate that the home </w:t>
      </w:r>
      <w:r w:rsidRPr="00930E5C" w:rsidR="00AD4C99">
        <w:rPr>
          <w:rFonts w:ascii="Arial" w:hAnsi="Arial" w:cs="Arial"/>
        </w:rPr>
        <w:t>is</w:t>
      </w:r>
      <w:r w:rsidRPr="00930E5C">
        <w:rPr>
          <w:rFonts w:ascii="Arial" w:hAnsi="Arial" w:cs="Arial"/>
        </w:rPr>
        <w:t xml:space="preserve"> </w:t>
      </w:r>
      <w:proofErr w:type="gramStart"/>
      <w:r w:rsidRPr="00930E5C">
        <w:rPr>
          <w:rFonts w:ascii="Arial" w:hAnsi="Arial" w:cs="Arial"/>
        </w:rPr>
        <w:t>charging</w:t>
      </w:r>
      <w:r w:rsidR="007A7A9B">
        <w:rPr>
          <w:rFonts w:ascii="Arial" w:hAnsi="Arial" w:cs="Arial"/>
        </w:rPr>
        <w:t>,</w:t>
      </w:r>
      <w:r w:rsidRPr="00930E5C">
        <w:rPr>
          <w:rFonts w:ascii="Arial" w:hAnsi="Arial" w:cs="Arial"/>
        </w:rPr>
        <w:t xml:space="preserve"> if</w:t>
      </w:r>
      <w:proofErr w:type="gramEnd"/>
      <w:r w:rsidRPr="00930E5C">
        <w:rPr>
          <w:rFonts w:ascii="Arial" w:hAnsi="Arial" w:cs="Arial"/>
        </w:rPr>
        <w:t xml:space="preserve"> you wish to remain living there. </w:t>
      </w:r>
      <w:r w:rsidRPr="00930E5C" w:rsidR="00352676">
        <w:rPr>
          <w:rFonts w:ascii="Arial" w:hAnsi="Arial" w:cs="Arial"/>
        </w:rPr>
        <w:t>This is providing the Council has identified alternate suitable care homes which are reasonable for you to move to</w:t>
      </w:r>
      <w:r w:rsidRPr="00930E5C" w:rsidR="00A340D6">
        <w:rPr>
          <w:rFonts w:ascii="Arial" w:hAnsi="Arial" w:cs="Arial"/>
        </w:rPr>
        <w:t>,</w:t>
      </w:r>
      <w:r w:rsidRPr="00930E5C" w:rsidR="00352676">
        <w:rPr>
          <w:rFonts w:ascii="Arial" w:hAnsi="Arial" w:cs="Arial"/>
        </w:rPr>
        <w:t xml:space="preserve"> but you still wish to stay in your current care home</w:t>
      </w:r>
      <w:r w:rsidRPr="00930E5C" w:rsidR="00A340D6">
        <w:rPr>
          <w:rFonts w:ascii="Arial" w:hAnsi="Arial" w:cs="Arial"/>
        </w:rPr>
        <w:t>.</w:t>
      </w:r>
    </w:p>
    <w:p w:rsidRPr="00930E5C" w:rsidR="00090C32" w:rsidP="0044758B" w:rsidRDefault="00090C32" w14:paraId="3BEB1AC1" w14:textId="77777777">
      <w:pPr>
        <w:spacing w:after="0"/>
        <w:ind w:left="720"/>
        <w:rPr>
          <w:rFonts w:ascii="Arial" w:hAnsi="Arial" w:cs="Arial"/>
          <w:color w:val="FF0000"/>
        </w:rPr>
      </w:pPr>
    </w:p>
    <w:p w:rsidRPr="00930E5C" w:rsidR="00E706BE" w:rsidP="0044758B" w:rsidRDefault="00E706BE" w14:paraId="3538444F" w14:textId="284D2FF6">
      <w:pPr>
        <w:spacing w:after="0"/>
        <w:ind w:left="720"/>
        <w:rPr>
          <w:rFonts w:ascii="Arial" w:hAnsi="Arial" w:cs="Arial"/>
        </w:rPr>
      </w:pPr>
      <w:r w:rsidRPr="00930E5C">
        <w:rPr>
          <w:rFonts w:ascii="Arial" w:hAnsi="Arial" w:cs="Arial"/>
        </w:rPr>
        <w:t>The top up payment is an additional payment to your personal</w:t>
      </w:r>
      <w:r w:rsidRPr="00930E5C" w:rsidR="00A9065F">
        <w:rPr>
          <w:rFonts w:ascii="Arial" w:hAnsi="Arial" w:cs="Arial"/>
        </w:rPr>
        <w:t xml:space="preserve"> </w:t>
      </w:r>
      <w:r w:rsidRPr="00930E5C">
        <w:rPr>
          <w:rFonts w:ascii="Arial" w:hAnsi="Arial" w:cs="Arial"/>
        </w:rPr>
        <w:t>contribution towards the cost of your care home fees. You are not normally allowed to pay the top up payment out of your own income and/or savings for your long -term care needs. You would need to arrange a ‘third party top up’.</w:t>
      </w:r>
      <w:r w:rsidR="00090C32">
        <w:rPr>
          <w:rFonts w:ascii="Arial" w:hAnsi="Arial" w:cs="Arial"/>
        </w:rPr>
        <w:t xml:space="preserve"> </w:t>
      </w:r>
      <w:r w:rsidRPr="00930E5C">
        <w:rPr>
          <w:rFonts w:ascii="Arial" w:hAnsi="Arial" w:cs="Arial"/>
        </w:rPr>
        <w:t xml:space="preserve">This means that someone else, or a group of people (which could include a family member, a friend or a charity) pay the difference between the amount that the Council will pay, and the amount that the care home is charging. The Council </w:t>
      </w:r>
      <w:r w:rsidR="00090C32">
        <w:rPr>
          <w:rFonts w:ascii="Arial" w:hAnsi="Arial" w:cs="Arial"/>
        </w:rPr>
        <w:t xml:space="preserve">will </w:t>
      </w:r>
      <w:r w:rsidRPr="00930E5C">
        <w:rPr>
          <w:rFonts w:ascii="Arial" w:hAnsi="Arial" w:cs="Arial"/>
        </w:rPr>
        <w:t xml:space="preserve">check that the third party is able to </w:t>
      </w:r>
    </w:p>
    <w:p w:rsidRPr="00930E5C" w:rsidR="00E706BE" w:rsidP="0044758B" w:rsidRDefault="00E706BE" w14:paraId="4AA14D3C" w14:textId="77777777">
      <w:pPr>
        <w:spacing w:after="0"/>
        <w:ind w:left="720"/>
        <w:rPr>
          <w:rFonts w:ascii="Arial" w:hAnsi="Arial" w:cs="Arial"/>
        </w:rPr>
      </w:pPr>
      <w:r w:rsidRPr="00930E5C">
        <w:rPr>
          <w:rFonts w:ascii="Arial" w:hAnsi="Arial" w:cs="Arial"/>
        </w:rPr>
        <w:t>sustain the top up payments and will ask them to sign a legal agreement to do so.</w:t>
      </w:r>
    </w:p>
    <w:p w:rsidRPr="00930E5C" w:rsidR="00A340D6" w:rsidP="0044758B" w:rsidRDefault="00A340D6" w14:paraId="7C71C52F" w14:textId="77777777">
      <w:pPr>
        <w:spacing w:after="0"/>
        <w:ind w:left="720"/>
        <w:rPr>
          <w:rFonts w:ascii="Arial" w:hAnsi="Arial" w:cs="Arial"/>
        </w:rPr>
      </w:pPr>
    </w:p>
    <w:p w:rsidRPr="00930E5C" w:rsidR="00E706BE" w:rsidP="0044758B" w:rsidRDefault="00E706BE" w14:paraId="3665459B" w14:textId="3435C676">
      <w:pPr>
        <w:ind w:left="720"/>
        <w:rPr>
          <w:rFonts w:ascii="Arial" w:hAnsi="Arial" w:cs="Arial"/>
        </w:rPr>
      </w:pPr>
      <w:r w:rsidRPr="00930E5C">
        <w:rPr>
          <w:rFonts w:ascii="Arial" w:hAnsi="Arial" w:cs="Arial"/>
        </w:rPr>
        <w:t>If a third party top up is not possible, or it comes to a time where a third party can no longer afford to pay the top up payment, the Council will normally look for an alternative care home that accepts the Council</w:t>
      </w:r>
      <w:r w:rsidRPr="00930E5C" w:rsidR="00F66EE1">
        <w:rPr>
          <w:rFonts w:ascii="Arial" w:hAnsi="Arial" w:cs="Arial"/>
        </w:rPr>
        <w:t>’</w:t>
      </w:r>
      <w:r w:rsidRPr="00930E5C">
        <w:rPr>
          <w:rFonts w:ascii="Arial" w:hAnsi="Arial" w:cs="Arial"/>
        </w:rPr>
        <w:t>s standard care rates</w:t>
      </w:r>
      <w:r w:rsidR="00090C32">
        <w:rPr>
          <w:rFonts w:ascii="Arial" w:hAnsi="Arial" w:cs="Arial"/>
        </w:rPr>
        <w:t>,</w:t>
      </w:r>
      <w:r w:rsidRPr="00930E5C">
        <w:rPr>
          <w:rFonts w:ascii="Arial" w:hAnsi="Arial" w:cs="Arial"/>
        </w:rPr>
        <w:t xml:space="preserve"> which is suitable to meet your needs and reasonable for you to move to. You will then be expected to move.</w:t>
      </w:r>
    </w:p>
    <w:p w:rsidR="00E706BE" w:rsidP="0044758B" w:rsidRDefault="00E706BE" w14:paraId="63D36487" w14:textId="5E5AE595">
      <w:pPr>
        <w:pStyle w:val="ListParagraph"/>
        <w:rPr>
          <w:rFonts w:ascii="Arial" w:hAnsi="Arial" w:cs="Arial"/>
        </w:rPr>
      </w:pPr>
      <w:r w:rsidRPr="00930E5C">
        <w:rPr>
          <w:rFonts w:ascii="Arial" w:hAnsi="Arial" w:cs="Arial"/>
        </w:rPr>
        <w:t>If you make a private arrangement to move to a care home outside Suffolk and your savings subsequently fall below the threshold, you will need to approach the local Council where the care home is located, and they will be responsible for assessing your needs and arranging care and support. Please note that different Councils pay different rates for care home placements.</w:t>
      </w:r>
      <w:r w:rsidRPr="00930E5C" w:rsidR="00F66EE1">
        <w:rPr>
          <w:rFonts w:ascii="Arial" w:hAnsi="Arial" w:cs="Arial"/>
        </w:rPr>
        <w:t xml:space="preserve"> In these circumstances there again maybe a need to move to a care home which accepts the local authority rate.</w:t>
      </w:r>
    </w:p>
    <w:p w:rsidRPr="00930E5C" w:rsidR="00E706BE" w:rsidP="00E706BE" w:rsidRDefault="00E706BE" w14:paraId="3FC46FA0" w14:textId="7D1AD829">
      <w:pPr>
        <w:rPr>
          <w:rFonts w:ascii="Arial" w:hAnsi="Arial" w:cs="Arial"/>
          <w:b/>
          <w:bCs/>
          <w:sz w:val="20"/>
          <w:szCs w:val="20"/>
        </w:rPr>
      </w:pPr>
      <w:r w:rsidRPr="00930E5C">
        <w:rPr>
          <w:rFonts w:ascii="Arial" w:hAnsi="Arial" w:cs="Arial"/>
          <w:b/>
          <w:bCs/>
          <w:sz w:val="20"/>
          <w:szCs w:val="20"/>
        </w:rPr>
        <w:t>Useful links to have when considering the above include:</w:t>
      </w:r>
    </w:p>
    <w:p w:rsidR="00A340D6" w:rsidP="00A340D6" w:rsidRDefault="00A340D6" w14:paraId="1EF58ADB" w14:textId="71BAC7A8">
      <w:pPr>
        <w:rPr>
          <w:rFonts w:ascii="Arial" w:hAnsi="Arial" w:cs="Arial"/>
          <w:b/>
          <w:bCs/>
          <w:sz w:val="20"/>
          <w:szCs w:val="20"/>
        </w:rPr>
      </w:pPr>
      <w:bookmarkStart w:name="_Hlk159422249" w:id="0"/>
      <w:r w:rsidRPr="00930E5C">
        <w:rPr>
          <w:rFonts w:ascii="Arial" w:hAnsi="Arial" w:cs="Arial"/>
          <w:sz w:val="20"/>
          <w:szCs w:val="20"/>
        </w:rPr>
        <w:t>Customer First –</w:t>
      </w:r>
      <w:r w:rsidRPr="00930E5C" w:rsidR="00585ADE">
        <w:rPr>
          <w:rFonts w:ascii="Arial" w:hAnsi="Arial" w:cs="Arial"/>
          <w:sz w:val="20"/>
          <w:szCs w:val="20"/>
        </w:rPr>
        <w:t xml:space="preserve"> </w:t>
      </w:r>
      <w:r w:rsidRPr="00930E5C">
        <w:rPr>
          <w:rFonts w:ascii="Arial" w:hAnsi="Arial" w:cs="Arial"/>
          <w:sz w:val="20"/>
          <w:szCs w:val="20"/>
        </w:rPr>
        <w:t xml:space="preserve">If you would like to discuss your options, our staff at Customer First will be happy to hear from you. You can contact us on </w:t>
      </w:r>
      <w:r w:rsidRPr="00B65241" w:rsidR="00B65241">
        <w:rPr>
          <w:rFonts w:ascii="Arial" w:hAnsi="Arial" w:cs="Arial"/>
          <w:b/>
          <w:bCs/>
          <w:sz w:val="20"/>
          <w:szCs w:val="20"/>
        </w:rPr>
        <w:t>0800 917 1109</w:t>
      </w:r>
      <w:r w:rsidR="00B65241">
        <w:rPr>
          <w:rFonts w:ascii="Arial" w:hAnsi="Arial" w:cs="Arial"/>
          <w:b/>
          <w:bCs/>
          <w:sz w:val="20"/>
          <w:szCs w:val="20"/>
        </w:rPr>
        <w:t xml:space="preserve"> </w:t>
      </w:r>
      <w:hyperlink w:history="1" r:id="rId10">
        <w:r w:rsidRPr="00F01077" w:rsidR="00B65241">
          <w:rPr>
            <w:rStyle w:val="Hyperlink"/>
            <w:rFonts w:ascii="Arial" w:hAnsi="Arial" w:cs="Arial"/>
            <w:b/>
            <w:bCs/>
            <w:sz w:val="20"/>
            <w:szCs w:val="20"/>
          </w:rPr>
          <w:t>https://www.suffolk.gov.uk/care-and-support-for-adults/how-social-care-can-help/contact-adult-social-care</w:t>
        </w:r>
      </w:hyperlink>
    </w:p>
    <w:p w:rsidRPr="00930E5C" w:rsidR="00A340D6" w:rsidP="00A340D6" w:rsidRDefault="0044758B" w14:paraId="4800D5F1" w14:textId="4578B992">
      <w:pPr>
        <w:rPr>
          <w:rFonts w:ascii="Arial" w:hAnsi="Arial" w:cs="Arial"/>
          <w:sz w:val="20"/>
          <w:szCs w:val="20"/>
        </w:rPr>
      </w:pPr>
      <w:r w:rsidRPr="00930E5C">
        <w:rPr>
          <w:rFonts w:ascii="Arial" w:hAnsi="Arial" w:cs="Arial"/>
          <w:sz w:val="20"/>
          <w:szCs w:val="20"/>
        </w:rPr>
        <w:t>Alternatively,</w:t>
      </w:r>
      <w:r w:rsidRPr="00930E5C" w:rsidR="00A340D6">
        <w:rPr>
          <w:rFonts w:ascii="Arial" w:hAnsi="Arial" w:cs="Arial"/>
          <w:sz w:val="20"/>
          <w:szCs w:val="20"/>
        </w:rPr>
        <w:t xml:space="preserve"> you may like to get some independent advice from a specialist financial adviser through the Society of Later Life Advisers (0333 2020 454, </w:t>
      </w:r>
      <w:hyperlink w:history="1" r:id="rId11">
        <w:r w:rsidRPr="00930E5C" w:rsidR="00A340D6">
          <w:rPr>
            <w:rStyle w:val="Hyperlink"/>
            <w:rFonts w:ascii="Arial" w:hAnsi="Arial" w:cs="Arial"/>
            <w:sz w:val="20"/>
            <w:szCs w:val="20"/>
          </w:rPr>
          <w:t>www.societyoflaterlifeadvisers.co.uk</w:t>
        </w:r>
      </w:hyperlink>
      <w:r w:rsidRPr="00930E5C" w:rsidR="00A340D6">
        <w:rPr>
          <w:rFonts w:ascii="Arial" w:hAnsi="Arial" w:cs="Arial"/>
          <w:sz w:val="20"/>
          <w:szCs w:val="20"/>
        </w:rPr>
        <w:t xml:space="preserve"> </w:t>
      </w:r>
    </w:p>
    <w:p w:rsidRPr="00930E5C" w:rsidR="00A340D6" w:rsidP="00585ADE" w:rsidRDefault="00A340D6" w14:paraId="04ACB420" w14:textId="3D2A6814">
      <w:pPr>
        <w:spacing w:after="0"/>
        <w:rPr>
          <w:rFonts w:ascii="Arial" w:hAnsi="Arial" w:cs="Arial"/>
          <w:sz w:val="20"/>
          <w:szCs w:val="20"/>
        </w:rPr>
      </w:pPr>
      <w:r w:rsidRPr="00930E5C">
        <w:rPr>
          <w:rFonts w:ascii="Arial" w:hAnsi="Arial" w:cs="Arial"/>
          <w:sz w:val="20"/>
          <w:szCs w:val="20"/>
        </w:rPr>
        <w:t xml:space="preserve">Or the Money and Pensions Service which provides free and impartial debt advice, money guidance and pension guidance to members of the public </w:t>
      </w:r>
      <w:hyperlink w:history="1" r:id="rId12">
        <w:r w:rsidRPr="00930E5C">
          <w:rPr>
            <w:rStyle w:val="Hyperlink"/>
            <w:rFonts w:ascii="Arial" w:hAnsi="Arial" w:cs="Arial"/>
            <w:sz w:val="20"/>
            <w:szCs w:val="20"/>
          </w:rPr>
          <w:t>www.moneyandpensionsservice.org.uk</w:t>
        </w:r>
      </w:hyperlink>
    </w:p>
    <w:p w:rsidRPr="00930E5C" w:rsidR="00A340D6" w:rsidP="00585ADE" w:rsidRDefault="00A340D6" w14:paraId="1BE7D63D" w14:textId="0E4FE90F">
      <w:pPr>
        <w:spacing w:after="0"/>
        <w:rPr>
          <w:rFonts w:ascii="Arial" w:hAnsi="Arial" w:cs="Arial"/>
          <w:sz w:val="20"/>
          <w:szCs w:val="20"/>
        </w:rPr>
      </w:pPr>
      <w:r w:rsidRPr="00930E5C">
        <w:rPr>
          <w:rFonts w:ascii="Arial" w:hAnsi="Arial" w:cs="Arial"/>
          <w:sz w:val="20"/>
          <w:szCs w:val="20"/>
        </w:rPr>
        <w:t xml:space="preserve"> 0800 138 7777 *There may be a charge for financial </w:t>
      </w:r>
      <w:r w:rsidRPr="00930E5C" w:rsidR="0044758B">
        <w:rPr>
          <w:rFonts w:ascii="Arial" w:hAnsi="Arial" w:cs="Arial"/>
          <w:sz w:val="20"/>
          <w:szCs w:val="20"/>
        </w:rPr>
        <w:t>advice.</w:t>
      </w:r>
    </w:p>
    <w:p w:rsidRPr="00930E5C" w:rsidR="00585ADE" w:rsidP="00585ADE" w:rsidRDefault="00585ADE" w14:paraId="21DD1A91" w14:textId="77777777">
      <w:pPr>
        <w:spacing w:after="0"/>
        <w:rPr>
          <w:rFonts w:ascii="Arial" w:hAnsi="Arial" w:cs="Arial"/>
          <w:sz w:val="20"/>
          <w:szCs w:val="20"/>
        </w:rPr>
      </w:pPr>
    </w:p>
    <w:bookmarkEnd w:id="0"/>
    <w:p w:rsidRPr="00930E5C" w:rsidR="00E706BE" w:rsidP="00E706BE" w:rsidRDefault="00E706BE" w14:paraId="3A0E0A57" w14:textId="77777777">
      <w:pPr>
        <w:rPr>
          <w:rFonts w:ascii="Arial" w:hAnsi="Arial" w:cs="Arial"/>
          <w:sz w:val="20"/>
          <w:szCs w:val="20"/>
        </w:rPr>
      </w:pPr>
      <w:r w:rsidRPr="00930E5C">
        <w:rPr>
          <w:rFonts w:ascii="Arial" w:hAnsi="Arial" w:cs="Arial"/>
          <w:sz w:val="20"/>
          <w:szCs w:val="20"/>
        </w:rPr>
        <w:t>CQC – The independent regulator of health and social care in England https://www.cqc.org.uk/</w:t>
      </w:r>
    </w:p>
    <w:p w:rsidRPr="00930E5C" w:rsidR="00E706BE" w:rsidP="00585ADE" w:rsidRDefault="00E706BE" w14:paraId="47AF7449" w14:textId="77777777">
      <w:pPr>
        <w:spacing w:after="0"/>
        <w:rPr>
          <w:rFonts w:ascii="Arial" w:hAnsi="Arial" w:cs="Arial"/>
          <w:sz w:val="20"/>
          <w:szCs w:val="20"/>
        </w:rPr>
      </w:pPr>
      <w:r w:rsidRPr="00930E5C">
        <w:rPr>
          <w:rFonts w:ascii="Arial" w:hAnsi="Arial" w:cs="Arial"/>
          <w:sz w:val="20"/>
          <w:szCs w:val="20"/>
        </w:rPr>
        <w:t xml:space="preserve">Care choices – a care service directory to explore various residential and nursing care homes in the </w:t>
      </w:r>
    </w:p>
    <w:p w:rsidR="00E706BE" w:rsidP="00585ADE" w:rsidRDefault="00E706BE" w14:paraId="02DC5DF9" w14:textId="1473A944">
      <w:pPr>
        <w:spacing w:after="0"/>
        <w:rPr>
          <w:rFonts w:ascii="Arial" w:hAnsi="Arial" w:cs="Arial"/>
          <w:sz w:val="20"/>
          <w:szCs w:val="20"/>
        </w:rPr>
      </w:pPr>
      <w:r w:rsidRPr="00930E5C">
        <w:rPr>
          <w:rFonts w:ascii="Arial" w:hAnsi="Arial" w:cs="Arial"/>
          <w:sz w:val="20"/>
          <w:szCs w:val="20"/>
        </w:rPr>
        <w:t xml:space="preserve">region </w:t>
      </w:r>
      <w:hyperlink w:history="1" r:id="rId13">
        <w:r w:rsidRPr="00930E5C">
          <w:rPr>
            <w:rStyle w:val="Hyperlink"/>
            <w:rFonts w:ascii="Arial" w:hAnsi="Arial" w:cs="Arial"/>
            <w:sz w:val="20"/>
            <w:szCs w:val="20"/>
          </w:rPr>
          <w:t>https://www.carechoices.co.uk/</w:t>
        </w:r>
      </w:hyperlink>
      <w:hyperlink w:history="1" r:id="rId14">
        <w:r w:rsidRPr="00930E5C" w:rsidR="00AD4C99">
          <w:rPr>
            <w:rStyle w:val="Hyperlink"/>
            <w:rFonts w:ascii="Arial" w:hAnsi="Arial" w:cs="Arial"/>
            <w:sz w:val="20"/>
            <w:szCs w:val="20"/>
          </w:rPr>
          <w:t>https://www.suffolk.gov.uk/care-and-support-for-adults/paying-for-care</w:t>
        </w:r>
      </w:hyperlink>
      <w:r w:rsidRPr="00930E5C" w:rsidR="00AD4C99">
        <w:rPr>
          <w:rFonts w:ascii="Arial" w:hAnsi="Arial" w:cs="Arial"/>
          <w:sz w:val="20"/>
          <w:szCs w:val="20"/>
        </w:rPr>
        <w:t xml:space="preserve"> </w:t>
      </w:r>
    </w:p>
    <w:p w:rsidR="00B65241" w:rsidP="00585ADE" w:rsidRDefault="00B65241" w14:paraId="1A68FE1F" w14:textId="77777777">
      <w:pPr>
        <w:spacing w:after="0"/>
        <w:rPr>
          <w:rFonts w:ascii="Arial" w:hAnsi="Arial" w:cs="Arial"/>
          <w:sz w:val="20"/>
          <w:szCs w:val="20"/>
        </w:rPr>
      </w:pPr>
    </w:p>
    <w:p w:rsidRPr="00C66FA8" w:rsidR="00B65241" w:rsidP="00B65241" w:rsidRDefault="00C66FA8" w14:paraId="5559DFD3" w14:textId="77777777">
      <w:pPr>
        <w:spacing w:after="0" w:line="240" w:lineRule="auto"/>
        <w:rPr>
          <w:rStyle w:val="Hyperlink"/>
          <w:rFonts w:ascii="Arial" w:hAnsi="Arial" w:cs="Arial"/>
          <w:sz w:val="20"/>
          <w:szCs w:val="20"/>
        </w:rPr>
      </w:pPr>
      <w:r w:rsidRPr="00090C32">
        <w:rPr>
          <w:rFonts w:ascii="Arial" w:hAnsi="Arial" w:cs="Arial"/>
          <w:sz w:val="20"/>
          <w:szCs w:val="20"/>
        </w:rPr>
        <w:t xml:space="preserve">Sec 117 funding. This information explains if you can get free aftercare under section 117 of the Mental Health Act 1983 </w:t>
      </w:r>
      <w:r w:rsidRPr="00B65241" w:rsidR="00B65241">
        <w:rPr>
          <w:rFonts w:ascii="Arial" w:hAnsi="Arial" w:cs="Arial"/>
          <w:sz w:val="20"/>
          <w:szCs w:val="20"/>
        </w:rPr>
        <w:fldChar w:fldCharType="begin"/>
      </w:r>
      <w:r w:rsidRPr="00C66FA8" w:rsidR="00B65241">
        <w:rPr>
          <w:rFonts w:ascii="Arial" w:hAnsi="Arial" w:cs="Arial"/>
          <w:sz w:val="20"/>
          <w:szCs w:val="20"/>
        </w:rPr>
        <w:instrText>HYPERLINK "https://www.google.co.uk/aclk?sa=L&amp;ai=DChcSEwjO2Nam8JaFAxVHbUcBHb3TDgcYABAAGgJxdQ&amp;ase=2&amp;gclid=EAIaIQobChMIztjWpvCWhQMVR21HAR290w4HEAAYASAAEgJ4m_D_BwE&amp;sig=AOD64_31rpGFWaMIOSFda4R_u1Wi2AKDcA&amp;q&amp;nis=4&amp;adurl&amp;ved=2ahUKEwjTg9Gm8JaFAxXUj4kEHVMTA5sQ0Qx6BAgGEAE"</w:instrText>
      </w:r>
      <w:r w:rsidRPr="00B65241" w:rsidR="00B65241">
        <w:rPr>
          <w:rFonts w:ascii="Arial" w:hAnsi="Arial" w:cs="Arial"/>
          <w:sz w:val="20"/>
          <w:szCs w:val="20"/>
        </w:rPr>
      </w:r>
      <w:r w:rsidRPr="00B65241" w:rsidR="00B65241">
        <w:rPr>
          <w:rFonts w:ascii="Arial" w:hAnsi="Arial" w:cs="Arial"/>
          <w:sz w:val="20"/>
          <w:szCs w:val="20"/>
        </w:rPr>
        <w:fldChar w:fldCharType="separate"/>
      </w:r>
    </w:p>
    <w:p w:rsidR="00301920" w:rsidP="00B65241" w:rsidRDefault="00B65241" w14:paraId="7498320C" w14:textId="7FFEFECF">
      <w:pPr>
        <w:spacing w:after="0" w:line="240" w:lineRule="auto"/>
        <w:rPr>
          <w:rFonts w:ascii="Arial" w:hAnsi="Arial" w:cs="Arial"/>
          <w:sz w:val="20"/>
          <w:szCs w:val="20"/>
        </w:rPr>
      </w:pPr>
      <w:r w:rsidRPr="00B65241">
        <w:rPr>
          <w:rStyle w:val="Hyperlink"/>
          <w:rFonts w:ascii="Arial" w:hAnsi="Arial" w:cs="Arial"/>
          <w:sz w:val="20"/>
          <w:szCs w:val="20"/>
        </w:rPr>
        <w:t>Section 117 mental health act - Section 117 Aftercare</w:t>
      </w:r>
      <w:r w:rsidRPr="00B65241">
        <w:rPr>
          <w:rFonts w:ascii="Arial" w:hAnsi="Arial" w:cs="Arial"/>
          <w:sz w:val="20"/>
          <w:szCs w:val="20"/>
        </w:rPr>
        <w:fldChar w:fldCharType="end"/>
      </w:r>
      <w:r w:rsidRPr="00B65241">
        <w:rPr>
          <w:rFonts w:ascii="Arial" w:hAnsi="Arial" w:cs="Arial"/>
          <w:sz w:val="20"/>
          <w:szCs w:val="20"/>
        </w:rPr>
        <w:t xml:space="preserve"> </w:t>
      </w:r>
    </w:p>
    <w:p w:rsidR="00D54E3C" w:rsidP="00D54E3C" w:rsidRDefault="00D54E3C" w14:paraId="3E4DD3A1" w14:textId="77777777">
      <w:pPr>
        <w:spacing w:after="0" w:line="240" w:lineRule="auto"/>
        <w:rPr>
          <w:rFonts w:ascii="Arial" w:hAnsi="Arial" w:cs="Arial"/>
          <w:b/>
          <w:bCs/>
          <w:sz w:val="20"/>
          <w:szCs w:val="20"/>
        </w:rPr>
      </w:pPr>
    </w:p>
    <w:p w:rsidR="00D54E3C" w:rsidP="00D54E3C" w:rsidRDefault="00D54E3C" w14:paraId="3E63E945" w14:textId="77777777">
      <w:pPr>
        <w:spacing w:after="0" w:line="240" w:lineRule="auto"/>
        <w:rPr>
          <w:rFonts w:ascii="Arial" w:hAnsi="Arial" w:cs="Arial"/>
          <w:b/>
          <w:bCs/>
          <w:sz w:val="20"/>
          <w:szCs w:val="20"/>
        </w:rPr>
      </w:pPr>
    </w:p>
    <w:p w:rsidRPr="00D54E3C" w:rsidR="00D54E3C" w:rsidP="00D54E3C" w:rsidRDefault="00D54E3C" w14:paraId="0F0AF618" w14:textId="4ABC8C6C">
      <w:pPr>
        <w:spacing w:after="0" w:line="240" w:lineRule="auto"/>
        <w:rPr>
          <w:rFonts w:ascii="Arial" w:hAnsi="Arial" w:cs="Arial"/>
          <w:b/>
          <w:bCs/>
          <w:sz w:val="20"/>
          <w:szCs w:val="20"/>
        </w:rPr>
      </w:pPr>
      <w:r w:rsidRPr="00D54E3C">
        <w:rPr>
          <w:rFonts w:ascii="Arial" w:hAnsi="Arial" w:cs="Arial"/>
          <w:b/>
          <w:bCs/>
          <w:sz w:val="20"/>
          <w:szCs w:val="20"/>
        </w:rPr>
        <w:t xml:space="preserve">Calculate your care </w:t>
      </w:r>
      <w:proofErr w:type="gramStart"/>
      <w:r w:rsidRPr="00D54E3C">
        <w:rPr>
          <w:rFonts w:ascii="Arial" w:hAnsi="Arial" w:cs="Arial"/>
          <w:b/>
          <w:bCs/>
          <w:sz w:val="20"/>
          <w:szCs w:val="20"/>
        </w:rPr>
        <w:t>costs</w:t>
      </w:r>
      <w:proofErr w:type="gramEnd"/>
    </w:p>
    <w:p w:rsidRPr="00D54E3C" w:rsidR="00D54E3C" w:rsidP="00D54E3C" w:rsidRDefault="00D54E3C" w14:paraId="328FA566" w14:textId="77777777">
      <w:pPr>
        <w:spacing w:after="0" w:line="240" w:lineRule="auto"/>
        <w:rPr>
          <w:rFonts w:ascii="Arial" w:hAnsi="Arial" w:cs="Arial"/>
          <w:sz w:val="20"/>
          <w:szCs w:val="20"/>
        </w:rPr>
      </w:pPr>
      <w:r w:rsidRPr="00D54E3C">
        <w:rPr>
          <w:rFonts w:ascii="Arial" w:hAnsi="Arial" w:cs="Arial"/>
          <w:sz w:val="20"/>
          <w:szCs w:val="20"/>
        </w:rPr>
        <w:t>You can use our care cost calculator to find out what you, or someone you look after, might need to pay towards social care.</w:t>
      </w:r>
    </w:p>
    <w:p w:rsidRPr="00930E5C" w:rsidR="00D54E3C" w:rsidP="00B65241" w:rsidRDefault="00D54E3C" w14:paraId="7B2B077F" w14:textId="1F9C28AF">
      <w:pPr>
        <w:spacing w:after="0" w:line="240" w:lineRule="auto"/>
        <w:rPr>
          <w:rFonts w:ascii="Arial" w:hAnsi="Arial" w:cs="Arial"/>
        </w:rPr>
      </w:pPr>
      <w:r w:rsidRPr="00D54E3C">
        <w:rPr>
          <w:rFonts w:ascii="Arial" w:hAnsi="Arial" w:cs="Arial"/>
          <w:sz w:val="20"/>
          <w:szCs w:val="20"/>
        </w:rPr>
        <w:t>The </w:t>
      </w:r>
      <w:hyperlink w:tgtFrame="_blank" w:history="1" r:id="rId15">
        <w:r w:rsidRPr="00D54E3C">
          <w:rPr>
            <w:rStyle w:val="Hyperlink"/>
            <w:rFonts w:ascii="Arial" w:hAnsi="Arial" w:cs="Arial"/>
            <w:sz w:val="20"/>
            <w:szCs w:val="20"/>
          </w:rPr>
          <w:t>Care Cost Calculator</w:t>
        </w:r>
      </w:hyperlink>
    </w:p>
    <w:sectPr w:rsidRPr="00930E5C" w:rsidR="00D54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C3A17"/>
    <w:multiLevelType w:val="hybridMultilevel"/>
    <w:tmpl w:val="667E4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C56D15"/>
    <w:multiLevelType w:val="hybridMultilevel"/>
    <w:tmpl w:val="F8E4F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6234360">
    <w:abstractNumId w:val="1"/>
  </w:num>
  <w:num w:numId="2" w16cid:durableId="214226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BE"/>
    <w:rsid w:val="000373CD"/>
    <w:rsid w:val="00090C32"/>
    <w:rsid w:val="00123F1E"/>
    <w:rsid w:val="00275401"/>
    <w:rsid w:val="002C627C"/>
    <w:rsid w:val="00301920"/>
    <w:rsid w:val="00352676"/>
    <w:rsid w:val="003667BA"/>
    <w:rsid w:val="00443430"/>
    <w:rsid w:val="0044758B"/>
    <w:rsid w:val="005603E3"/>
    <w:rsid w:val="00585ADE"/>
    <w:rsid w:val="005A5B54"/>
    <w:rsid w:val="00660292"/>
    <w:rsid w:val="006612EA"/>
    <w:rsid w:val="007A7A9B"/>
    <w:rsid w:val="00904017"/>
    <w:rsid w:val="00930E5C"/>
    <w:rsid w:val="00A340D6"/>
    <w:rsid w:val="00A9065F"/>
    <w:rsid w:val="00AD4C99"/>
    <w:rsid w:val="00AE181D"/>
    <w:rsid w:val="00AE5EF9"/>
    <w:rsid w:val="00B02991"/>
    <w:rsid w:val="00B65241"/>
    <w:rsid w:val="00B81F0B"/>
    <w:rsid w:val="00C55B44"/>
    <w:rsid w:val="00C66FA8"/>
    <w:rsid w:val="00C81269"/>
    <w:rsid w:val="00C832F0"/>
    <w:rsid w:val="00D54E3C"/>
    <w:rsid w:val="00DF58D3"/>
    <w:rsid w:val="00E706BE"/>
    <w:rsid w:val="00E81C43"/>
    <w:rsid w:val="00EC1F03"/>
    <w:rsid w:val="00ED40B7"/>
    <w:rsid w:val="00F14B20"/>
    <w:rsid w:val="00F6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E2CF"/>
  <w15:chartTrackingRefBased/>
  <w15:docId w15:val="{80B1FD99-8F82-43E6-AEA5-7F68CD1E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6BE"/>
    <w:rPr>
      <w:color w:val="0563C1" w:themeColor="hyperlink"/>
      <w:u w:val="single"/>
    </w:rPr>
  </w:style>
  <w:style w:type="character" w:styleId="UnresolvedMention">
    <w:name w:val="Unresolved Mention"/>
    <w:basedOn w:val="DefaultParagraphFont"/>
    <w:uiPriority w:val="99"/>
    <w:semiHidden/>
    <w:unhideWhenUsed/>
    <w:rsid w:val="00E706BE"/>
    <w:rPr>
      <w:color w:val="605E5C"/>
      <w:shd w:val="clear" w:color="auto" w:fill="E1DFDD"/>
    </w:rPr>
  </w:style>
  <w:style w:type="character" w:styleId="CommentReference">
    <w:name w:val="annotation reference"/>
    <w:basedOn w:val="DefaultParagraphFont"/>
    <w:uiPriority w:val="99"/>
    <w:semiHidden/>
    <w:unhideWhenUsed/>
    <w:rsid w:val="00E706BE"/>
    <w:rPr>
      <w:sz w:val="16"/>
      <w:szCs w:val="16"/>
    </w:rPr>
  </w:style>
  <w:style w:type="paragraph" w:styleId="CommentText">
    <w:name w:val="annotation text"/>
    <w:basedOn w:val="Normal"/>
    <w:link w:val="CommentTextChar"/>
    <w:uiPriority w:val="99"/>
    <w:unhideWhenUsed/>
    <w:rsid w:val="00E706BE"/>
    <w:pPr>
      <w:spacing w:line="240" w:lineRule="auto"/>
    </w:pPr>
    <w:rPr>
      <w:sz w:val="20"/>
      <w:szCs w:val="20"/>
    </w:rPr>
  </w:style>
  <w:style w:type="character" w:customStyle="1" w:styleId="CommentTextChar">
    <w:name w:val="Comment Text Char"/>
    <w:basedOn w:val="DefaultParagraphFont"/>
    <w:link w:val="CommentText"/>
    <w:uiPriority w:val="99"/>
    <w:rsid w:val="00E706BE"/>
    <w:rPr>
      <w:sz w:val="20"/>
      <w:szCs w:val="20"/>
    </w:rPr>
  </w:style>
  <w:style w:type="paragraph" w:styleId="CommentSubject">
    <w:name w:val="annotation subject"/>
    <w:basedOn w:val="CommentText"/>
    <w:next w:val="CommentText"/>
    <w:link w:val="CommentSubjectChar"/>
    <w:uiPriority w:val="99"/>
    <w:semiHidden/>
    <w:unhideWhenUsed/>
    <w:rsid w:val="00E706BE"/>
    <w:rPr>
      <w:b/>
      <w:bCs/>
    </w:rPr>
  </w:style>
  <w:style w:type="character" w:customStyle="1" w:styleId="CommentSubjectChar">
    <w:name w:val="Comment Subject Char"/>
    <w:basedOn w:val="CommentTextChar"/>
    <w:link w:val="CommentSubject"/>
    <w:uiPriority w:val="99"/>
    <w:semiHidden/>
    <w:rsid w:val="00E706BE"/>
    <w:rPr>
      <w:b/>
      <w:bCs/>
      <w:sz w:val="20"/>
      <w:szCs w:val="20"/>
    </w:rPr>
  </w:style>
  <w:style w:type="paragraph" w:styleId="ListParagraph">
    <w:name w:val="List Paragraph"/>
    <w:basedOn w:val="Normal"/>
    <w:uiPriority w:val="34"/>
    <w:qFormat/>
    <w:rsid w:val="00F66EE1"/>
    <w:pPr>
      <w:ind w:left="720"/>
      <w:contextualSpacing/>
    </w:pPr>
  </w:style>
  <w:style w:type="character" w:styleId="FollowedHyperlink">
    <w:name w:val="FollowedHyperlink"/>
    <w:basedOn w:val="DefaultParagraphFont"/>
    <w:uiPriority w:val="99"/>
    <w:semiHidden/>
    <w:unhideWhenUsed/>
    <w:rsid w:val="00F66EE1"/>
    <w:rPr>
      <w:color w:val="954F72" w:themeColor="followedHyperlink"/>
      <w:u w:val="single"/>
    </w:rPr>
  </w:style>
  <w:style w:type="paragraph" w:styleId="Revision">
    <w:name w:val="Revision"/>
    <w:hidden/>
    <w:uiPriority w:val="99"/>
    <w:semiHidden/>
    <w:rsid w:val="00123F1E"/>
    <w:pPr>
      <w:spacing w:after="0" w:line="240" w:lineRule="auto"/>
    </w:pPr>
  </w:style>
  <w:style w:type="table" w:styleId="TableGrid">
    <w:name w:val="Table Grid"/>
    <w:basedOn w:val="TableNormal"/>
    <w:uiPriority w:val="39"/>
    <w:rsid w:val="00930E5C"/>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7658">
      <w:bodyDiv w:val="1"/>
      <w:marLeft w:val="0"/>
      <w:marRight w:val="0"/>
      <w:marTop w:val="0"/>
      <w:marBottom w:val="0"/>
      <w:divBdr>
        <w:top w:val="none" w:sz="0" w:space="0" w:color="auto"/>
        <w:left w:val="none" w:sz="0" w:space="0" w:color="auto"/>
        <w:bottom w:val="none" w:sz="0" w:space="0" w:color="auto"/>
        <w:right w:val="none" w:sz="0" w:space="0" w:color="auto"/>
      </w:divBdr>
      <w:divsChild>
        <w:div w:id="1120685800">
          <w:marLeft w:val="0"/>
          <w:marRight w:val="0"/>
          <w:marTop w:val="600"/>
          <w:marBottom w:val="45"/>
          <w:divBdr>
            <w:top w:val="none" w:sz="0" w:space="0" w:color="auto"/>
            <w:left w:val="none" w:sz="0" w:space="0" w:color="auto"/>
            <w:bottom w:val="none" w:sz="0" w:space="0" w:color="auto"/>
            <w:right w:val="none" w:sz="0" w:space="0" w:color="auto"/>
          </w:divBdr>
        </w:div>
      </w:divsChild>
    </w:div>
    <w:div w:id="1654916723">
      <w:bodyDiv w:val="1"/>
      <w:marLeft w:val="0"/>
      <w:marRight w:val="0"/>
      <w:marTop w:val="0"/>
      <w:marBottom w:val="0"/>
      <w:divBdr>
        <w:top w:val="none" w:sz="0" w:space="0" w:color="auto"/>
        <w:left w:val="none" w:sz="0" w:space="0" w:color="auto"/>
        <w:bottom w:val="none" w:sz="0" w:space="0" w:color="auto"/>
        <w:right w:val="none" w:sz="0" w:space="0" w:color="auto"/>
      </w:divBdr>
      <w:divsChild>
        <w:div w:id="457066052">
          <w:marLeft w:val="0"/>
          <w:marRight w:val="0"/>
          <w:marTop w:val="0"/>
          <w:marBottom w:val="0"/>
          <w:divBdr>
            <w:top w:val="none" w:sz="0" w:space="0" w:color="auto"/>
            <w:left w:val="none" w:sz="0" w:space="0" w:color="auto"/>
            <w:bottom w:val="none" w:sz="0" w:space="0" w:color="auto"/>
            <w:right w:val="none" w:sz="0" w:space="0" w:color="auto"/>
          </w:divBdr>
          <w:divsChild>
            <w:div w:id="1011301261">
              <w:marLeft w:val="0"/>
              <w:marRight w:val="0"/>
              <w:marTop w:val="0"/>
              <w:marBottom w:val="0"/>
              <w:divBdr>
                <w:top w:val="none" w:sz="0" w:space="0" w:color="auto"/>
                <w:left w:val="none" w:sz="0" w:space="0" w:color="auto"/>
                <w:bottom w:val="none" w:sz="0" w:space="0" w:color="auto"/>
                <w:right w:val="none" w:sz="0" w:space="0" w:color="auto"/>
              </w:divBdr>
              <w:divsChild>
                <w:div w:id="4243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5146">
          <w:marLeft w:val="0"/>
          <w:marRight w:val="0"/>
          <w:marTop w:val="0"/>
          <w:marBottom w:val="0"/>
          <w:divBdr>
            <w:top w:val="none" w:sz="0" w:space="0" w:color="auto"/>
            <w:left w:val="none" w:sz="0" w:space="0" w:color="auto"/>
            <w:bottom w:val="none" w:sz="0" w:space="0" w:color="auto"/>
            <w:right w:val="none" w:sz="0" w:space="0" w:color="auto"/>
          </w:divBdr>
          <w:divsChild>
            <w:div w:id="448355652">
              <w:marLeft w:val="0"/>
              <w:marRight w:val="0"/>
              <w:marTop w:val="0"/>
              <w:marBottom w:val="0"/>
              <w:divBdr>
                <w:top w:val="none" w:sz="0" w:space="0" w:color="auto"/>
                <w:left w:val="none" w:sz="0" w:space="0" w:color="auto"/>
                <w:bottom w:val="none" w:sz="0" w:space="0" w:color="auto"/>
                <w:right w:val="none" w:sz="0" w:space="0" w:color="auto"/>
              </w:divBdr>
              <w:divsChild>
                <w:div w:id="652099769">
                  <w:marLeft w:val="0"/>
                  <w:marRight w:val="0"/>
                  <w:marTop w:val="0"/>
                  <w:marBottom w:val="0"/>
                  <w:divBdr>
                    <w:top w:val="none" w:sz="0" w:space="0" w:color="auto"/>
                    <w:left w:val="none" w:sz="0" w:space="0" w:color="auto"/>
                    <w:bottom w:val="none" w:sz="0" w:space="0" w:color="auto"/>
                    <w:right w:val="none" w:sz="0" w:space="0" w:color="auto"/>
                  </w:divBdr>
                  <w:divsChild>
                    <w:div w:id="462424292">
                      <w:marLeft w:val="0"/>
                      <w:marRight w:val="0"/>
                      <w:marTop w:val="0"/>
                      <w:marBottom w:val="0"/>
                      <w:divBdr>
                        <w:top w:val="none" w:sz="0" w:space="0" w:color="auto"/>
                        <w:left w:val="none" w:sz="0" w:space="0" w:color="auto"/>
                        <w:bottom w:val="none" w:sz="0" w:space="0" w:color="auto"/>
                        <w:right w:val="none" w:sz="0" w:space="0" w:color="auto"/>
                      </w:divBdr>
                      <w:divsChild>
                        <w:div w:id="2039043379">
                          <w:marLeft w:val="0"/>
                          <w:marRight w:val="0"/>
                          <w:marTop w:val="0"/>
                          <w:marBottom w:val="0"/>
                          <w:divBdr>
                            <w:top w:val="none" w:sz="0" w:space="0" w:color="auto"/>
                            <w:left w:val="none" w:sz="0" w:space="0" w:color="auto"/>
                            <w:bottom w:val="none" w:sz="0" w:space="0" w:color="auto"/>
                            <w:right w:val="none" w:sz="0" w:space="0" w:color="auto"/>
                          </w:divBdr>
                          <w:divsChild>
                            <w:div w:id="92676612">
                              <w:marLeft w:val="0"/>
                              <w:marRight w:val="0"/>
                              <w:marTop w:val="0"/>
                              <w:marBottom w:val="0"/>
                              <w:divBdr>
                                <w:top w:val="none" w:sz="0" w:space="0" w:color="auto"/>
                                <w:left w:val="none" w:sz="0" w:space="0" w:color="auto"/>
                                <w:bottom w:val="none" w:sz="0" w:space="0" w:color="auto"/>
                                <w:right w:val="none" w:sz="0" w:space="0" w:color="auto"/>
                              </w:divBdr>
                              <w:divsChild>
                                <w:div w:id="1699962787">
                                  <w:marLeft w:val="0"/>
                                  <w:marRight w:val="0"/>
                                  <w:marTop w:val="0"/>
                                  <w:marBottom w:val="0"/>
                                  <w:divBdr>
                                    <w:top w:val="none" w:sz="0" w:space="0" w:color="auto"/>
                                    <w:left w:val="none" w:sz="0" w:space="0" w:color="auto"/>
                                    <w:bottom w:val="none" w:sz="0" w:space="0" w:color="auto"/>
                                    <w:right w:val="none" w:sz="0" w:space="0" w:color="auto"/>
                                  </w:divBdr>
                                  <w:divsChild>
                                    <w:div w:id="1199779519">
                                      <w:marLeft w:val="0"/>
                                      <w:marRight w:val="0"/>
                                      <w:marTop w:val="0"/>
                                      <w:marBottom w:val="0"/>
                                      <w:divBdr>
                                        <w:top w:val="none" w:sz="0" w:space="0" w:color="auto"/>
                                        <w:left w:val="none" w:sz="0" w:space="0" w:color="auto"/>
                                        <w:bottom w:val="none" w:sz="0" w:space="0" w:color="auto"/>
                                        <w:right w:val="none" w:sz="0" w:space="0" w:color="auto"/>
                                      </w:divBdr>
                                      <w:divsChild>
                                        <w:div w:id="1579827153">
                                          <w:marLeft w:val="0"/>
                                          <w:marRight w:val="0"/>
                                          <w:marTop w:val="0"/>
                                          <w:marBottom w:val="0"/>
                                          <w:divBdr>
                                            <w:top w:val="none" w:sz="0" w:space="0" w:color="auto"/>
                                            <w:left w:val="none" w:sz="0" w:space="0" w:color="auto"/>
                                            <w:bottom w:val="none" w:sz="0" w:space="0" w:color="auto"/>
                                            <w:right w:val="none" w:sz="0" w:space="0" w:color="auto"/>
                                          </w:divBdr>
                                          <w:divsChild>
                                            <w:div w:id="7608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rechoice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neyandpensionsservic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etyoflaterlifeadvisers.co.uk" TargetMode="External"/><Relationship Id="rId5" Type="http://schemas.openxmlformats.org/officeDocument/2006/relationships/styles" Target="styles.xml"/><Relationship Id="rId15" Type="http://schemas.openxmlformats.org/officeDocument/2006/relationships/hyperlink" Target="https://suffolk.mycostofcare.com/OFA" TargetMode="External"/><Relationship Id="rId10" Type="http://schemas.openxmlformats.org/officeDocument/2006/relationships/hyperlink" Target="https://www.suffolk.gov.uk/care-and-support-for-adults/how-social-care-can-help/contact-adult-social-car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suffolk.gov.uk/care-and-support-for-adults/paying-for-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89fa61-2af6-43b7-8938-13f1aef53a6c" xsi:nil="true"/>
    <lcf76f155ced4ddcb4097134ff3c332f xmlns="962871d6-6aa4-4c1b-99b0-3f6d42596d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069942F09BA4C85706D4F184A837E" ma:contentTypeVersion="14" ma:contentTypeDescription="Create a new document." ma:contentTypeScope="" ma:versionID="050104b9f213b0883f0f394c24d0aee1">
  <xsd:schema xmlns:xsd="http://www.w3.org/2001/XMLSchema" xmlns:xs="http://www.w3.org/2001/XMLSchema" xmlns:p="http://schemas.microsoft.com/office/2006/metadata/properties" xmlns:ns2="962871d6-6aa4-4c1b-99b0-3f6d42596d75" xmlns:ns3="aa89fa61-2af6-43b7-8938-13f1aef53a6c" targetNamespace="http://schemas.microsoft.com/office/2006/metadata/properties" ma:root="true" ma:fieldsID="77072d2a126233f3b2ac728ca630d10c" ns2:_="" ns3:_="">
    <xsd:import namespace="962871d6-6aa4-4c1b-99b0-3f6d42596d75"/>
    <xsd:import namespace="aa89fa61-2af6-43b7-8938-13f1aef53a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871d6-6aa4-4c1b-99b0-3f6d42596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9fa61-2af6-43b7-8938-13f1aef53a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192470-f99e-4786-a658-6fd541793ea2}" ma:internalName="TaxCatchAll" ma:showField="CatchAllData" ma:web="aa89fa61-2af6-43b7-8938-13f1aef53a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DADF1-2FB8-4095-ABEF-06875AB9C52F}">
  <ds:schemaRefs>
    <ds:schemaRef ds:uri="http://schemas.microsoft.com/office/2006/metadata/properties"/>
    <ds:schemaRef ds:uri="http://schemas.microsoft.com/office/infopath/2007/PartnerControls"/>
    <ds:schemaRef ds:uri="aa89fa61-2af6-43b7-8938-13f1aef53a6c"/>
    <ds:schemaRef ds:uri="962871d6-6aa4-4c1b-99b0-3f6d42596d75"/>
  </ds:schemaRefs>
</ds:datastoreItem>
</file>

<file path=customXml/itemProps2.xml><?xml version="1.0" encoding="utf-8"?>
<ds:datastoreItem xmlns:ds="http://schemas.openxmlformats.org/officeDocument/2006/customXml" ds:itemID="{C30A9558-22EC-46B8-9651-31D97E8C7DCF}">
  <ds:schemaRefs>
    <ds:schemaRef ds:uri="http://schemas.microsoft.com/sharepoint/v3/contenttype/forms"/>
  </ds:schemaRefs>
</ds:datastoreItem>
</file>

<file path=customXml/itemProps3.xml><?xml version="1.0" encoding="utf-8"?>
<ds:datastoreItem xmlns:ds="http://schemas.openxmlformats.org/officeDocument/2006/customXml" ds:itemID="{D08C2CE3-479B-4349-A041-6630DF130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871d6-6aa4-4c1b-99b0-3f6d42596d75"/>
    <ds:schemaRef ds:uri="aa89fa61-2af6-43b7-8938-13f1aef53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Potential Residents on the Council's Care Home Rates</dc:title>
  <dc:subject>
  </dc:subject>
  <dc:creator>Sue Renaut</dc:creator>
  <cp:keywords>
  </cp:keywords>
  <dc:description>
  </dc:description>
  <cp:lastModifiedBy>Holly Porter</cp:lastModifiedBy>
  <cp:revision>2</cp:revision>
  <dcterms:created xsi:type="dcterms:W3CDTF">2024-04-15T09:05:00Z</dcterms:created>
  <dcterms:modified xsi:type="dcterms:W3CDTF">2024-04-15T09:10:56Z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0x010100982069942F09BA4C85706D4F184A837E</vt:lpwstr>
  </property>
  <property fmtid="{D5CDD505-2E9C-101B-9397-08002B2CF9AE}" pid="3" name="MediaServiceImageTags">
    <vt:lpwstr/>
  </property>
</Properties>
</file>