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B3B2A" w:rsidR="0016762E" w:rsidP="0016762E" w:rsidRDefault="0016762E" w14:paraId="45FB4D6D" w14:textId="77777777">
      <w:pPr>
        <w:rPr>
          <w:b/>
          <w:sz w:val="28"/>
          <w:szCs w:val="28"/>
          <w:u w:val="single"/>
        </w:rPr>
      </w:pPr>
      <w:bookmarkStart w:name="_GoBack" w:id="0"/>
      <w:bookmarkEnd w:id="0"/>
      <w:r w:rsidRPr="00EB3B2A">
        <w:rPr>
          <w:b/>
          <w:sz w:val="28"/>
          <w:szCs w:val="28"/>
          <w:u w:val="single"/>
        </w:rPr>
        <w:t>Suffolk Fire and Rescue Service Budget and Spending</w:t>
      </w:r>
    </w:p>
    <w:p w:rsidR="009C7FC1" w:rsidP="0016762E" w:rsidRDefault="0013538A" w14:paraId="67AAD888" w14:textId="2041D6EA">
      <w:r>
        <w:t>The 20</w:t>
      </w:r>
      <w:r w:rsidR="0016762E">
        <w:t>1</w:t>
      </w:r>
      <w:r w:rsidR="00C8494A">
        <w:t>8/19</w:t>
      </w:r>
      <w:r w:rsidR="0016762E">
        <w:t xml:space="preserve"> budget for Suffolk’s fire a</w:t>
      </w:r>
      <w:r>
        <w:t xml:space="preserve">nd rescue service </w:t>
      </w:r>
      <w:r w:rsidR="009C7FC1">
        <w:t>was</w:t>
      </w:r>
      <w:r>
        <w:t xml:space="preserve"> £2</w:t>
      </w:r>
      <w:r w:rsidR="00C8494A">
        <w:t>1,699,866</w:t>
      </w:r>
      <w:r w:rsidR="0016762E">
        <w:t>. The chart below provides a high</w:t>
      </w:r>
      <w:r w:rsidR="009C7FC1">
        <w:t>-</w:t>
      </w:r>
      <w:r w:rsidR="0016762E">
        <w:t xml:space="preserve">level breakdown of how this money </w:t>
      </w:r>
      <w:r w:rsidR="009C7FC1">
        <w:t>was</w:t>
      </w:r>
      <w:r w:rsidR="0016762E">
        <w:t xml:space="preserve"> spent across the Service. These figures vary slightly from year to year as budgets are established to meet the risk for the following year. The chart shows that the largest proportion of spend </w:t>
      </w:r>
      <w:r w:rsidR="009C7FC1">
        <w:t>was</w:t>
      </w:r>
      <w:r w:rsidR="0016762E">
        <w:t xml:space="preserve"> on firefighters and officers delivering front line fire and rescue services in our communities. </w:t>
      </w:r>
    </w:p>
    <w:p w:rsidR="0016762E" w:rsidP="0016762E" w:rsidRDefault="00C8494A" w14:paraId="45FB4D6F" w14:textId="1CEB3ABB">
      <w:r>
        <w:rPr>
          <w:noProof/>
        </w:rPr>
        <w:drawing>
          <wp:inline distT="0" distB="0" distL="0" distR="0" wp14:anchorId="2CCB1D71" wp14:editId="2429808C">
            <wp:extent cx="5731510" cy="4524375"/>
            <wp:effectExtent l="19050" t="19050" r="21590" b="9525"/>
            <wp:docPr id="1" name="Chart 1">
              <a:extLst xmlns:a="http://schemas.openxmlformats.org/drawingml/2006/main">
                <a:ext uri="{FF2B5EF4-FFF2-40B4-BE49-F238E27FC236}">
                  <a16:creationId xmlns:a16="http://schemas.microsoft.com/office/drawing/2014/main" id="{62909628-A0CD-4CBD-87BA-C0072ABAB8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6762E" w:rsidP="0016762E" w:rsidRDefault="0016762E" w14:paraId="45FB4D70" w14:textId="0738C9B1">
      <w:r>
        <w:t xml:space="preserve">Fire Service funding comes from both council tax and central government grant with approximately 55% currently coming from council tax. This clearly shows that expected further government grant reductions will have a significant impact on the overall budget for the fire service. </w:t>
      </w:r>
    </w:p>
    <w:p w:rsidRPr="0016762E" w:rsidR="0016762E" w:rsidP="0016762E" w:rsidRDefault="0016762E" w14:paraId="45FB4D72" w14:textId="77777777">
      <w:pPr>
        <w:rPr>
          <w:b/>
        </w:rPr>
      </w:pPr>
      <w:r w:rsidRPr="0016762E">
        <w:rPr>
          <w:b/>
        </w:rPr>
        <w:t>Operating Efficiently</w:t>
      </w:r>
    </w:p>
    <w:p w:rsidR="0016762E" w:rsidP="0016762E" w:rsidRDefault="00C8494A" w14:paraId="45FB4D73" w14:textId="515B4E71">
      <w:r>
        <w:t>We want the service we provide you to be effective, community-focussed, financially sustainable and resilient and w</w:t>
      </w:r>
      <w:r w:rsidR="0016762E">
        <w:t>e’re always looking for ways to work efficiently and use the resources we have in the most cost-effective way. The types of initiatives and projects we have developed in recent years include:</w:t>
      </w:r>
    </w:p>
    <w:p w:rsidR="0016762E" w:rsidP="0016762E" w:rsidRDefault="0016762E" w14:paraId="45FB4D74" w14:textId="77777777">
      <w:pPr>
        <w:pStyle w:val="ListParagraph"/>
        <w:numPr>
          <w:ilvl w:val="0"/>
          <w:numId w:val="1"/>
        </w:numPr>
      </w:pPr>
      <w:r>
        <w:t>Using government supported private finance to completely refurbish or rebuild 11 fire stations</w:t>
      </w:r>
    </w:p>
    <w:p w:rsidR="0016762E" w:rsidP="0016762E" w:rsidRDefault="0016762E" w14:paraId="45FB4D75" w14:textId="5B8C92BF">
      <w:pPr>
        <w:pStyle w:val="ListParagraph"/>
        <w:numPr>
          <w:ilvl w:val="0"/>
          <w:numId w:val="1"/>
        </w:numPr>
      </w:pPr>
      <w:r>
        <w:lastRenderedPageBreak/>
        <w:t>Sharing 1</w:t>
      </w:r>
      <w:r w:rsidR="00C8494A">
        <w:t>6</w:t>
      </w:r>
      <w:r>
        <w:t xml:space="preserve"> fire stations with Police and Ambulance ‘blue light’ partners with plans for more in the next few years</w:t>
      </w:r>
    </w:p>
    <w:p w:rsidR="0016762E" w:rsidP="0016762E" w:rsidRDefault="0016762E" w14:paraId="45FB4D76" w14:textId="77777777">
      <w:pPr>
        <w:pStyle w:val="ListParagraph"/>
        <w:numPr>
          <w:ilvl w:val="0"/>
          <w:numId w:val="1"/>
        </w:numPr>
      </w:pPr>
      <w:r>
        <w:t>Continuing with plans to review and improve our vehicle fleet, replacing our oldest fire engines with new and more efficient vehicles</w:t>
      </w:r>
    </w:p>
    <w:p w:rsidR="0016762E" w:rsidP="0016762E" w:rsidRDefault="0016762E" w14:paraId="45FB4D77" w14:textId="77777777">
      <w:pPr>
        <w:pStyle w:val="ListParagraph"/>
        <w:numPr>
          <w:ilvl w:val="0"/>
          <w:numId w:val="1"/>
        </w:numPr>
      </w:pPr>
      <w:r>
        <w:t>Providing better firefighting and rescue equipment and clothing for firefighters improving both public and firefighter safety</w:t>
      </w:r>
    </w:p>
    <w:p w:rsidR="0016762E" w:rsidP="0016762E" w:rsidRDefault="0016762E" w14:paraId="45FB4D78" w14:textId="339FE23C">
      <w:pPr>
        <w:pStyle w:val="ListParagraph"/>
        <w:numPr>
          <w:ilvl w:val="0"/>
          <w:numId w:val="1"/>
        </w:numPr>
      </w:pPr>
      <w:r>
        <w:t xml:space="preserve">Crewing our fire </w:t>
      </w:r>
      <w:r w:rsidR="0013538A">
        <w:t>engines in a more efficient way</w:t>
      </w:r>
    </w:p>
    <w:p w:rsidR="0016762E" w:rsidP="0016762E" w:rsidRDefault="0016762E" w14:paraId="45FB4D79" w14:textId="77777777">
      <w:pPr>
        <w:pStyle w:val="ListParagraph"/>
        <w:numPr>
          <w:ilvl w:val="0"/>
          <w:numId w:val="1"/>
        </w:numPr>
      </w:pPr>
      <w:r>
        <w:t>Reducing the size of the fire service’s support functions and middle and senior management team</w:t>
      </w:r>
    </w:p>
    <w:p w:rsidR="0016762E" w:rsidP="0016762E" w:rsidRDefault="0016762E" w14:paraId="45FB4D7A" w14:textId="6816837B">
      <w:pPr>
        <w:pStyle w:val="ListParagraph"/>
        <w:numPr>
          <w:ilvl w:val="0"/>
          <w:numId w:val="1"/>
        </w:numPr>
      </w:pPr>
      <w:r>
        <w:t xml:space="preserve">Continuing to explore opportunities to collaborate with public sector partners in areas ranging from procurement to </w:t>
      </w:r>
      <w:r w:rsidR="00C8494A">
        <w:t xml:space="preserve">our </w:t>
      </w:r>
      <w:r>
        <w:t>999 control and shared support functions</w:t>
      </w:r>
    </w:p>
    <w:p w:rsidRPr="0016762E" w:rsidR="0016762E" w:rsidP="0016762E" w:rsidRDefault="0016762E" w14:paraId="45FB4D7B" w14:textId="77777777">
      <w:pPr>
        <w:rPr>
          <w:b/>
        </w:rPr>
      </w:pPr>
      <w:r w:rsidRPr="0016762E">
        <w:rPr>
          <w:b/>
        </w:rPr>
        <w:t>Capital Funding</w:t>
      </w:r>
    </w:p>
    <w:p w:rsidR="0016762E" w:rsidP="0016762E" w:rsidRDefault="0016762E" w14:paraId="45FB4D7C" w14:textId="77777777">
      <w:r>
        <w:t xml:space="preserve">The Service has a capital programme for significant purchases associated with property, appliances and equipment. The programme is financed through the sale of assets, capital grants from government and contributions from the Service’s revenue budget. </w:t>
      </w:r>
    </w:p>
    <w:p w:rsidR="002325E2" w:rsidP="0016762E" w:rsidRDefault="0016762E" w14:paraId="45FB4D7D" w14:textId="42BEEBA9">
      <w:r>
        <w:t>In 2014 we were successful in bidding for a share of the Government’s £75m Fire Transformation Fund. The £4.9m we received is being used to increase the number of shared fire, police and ambulance stations in Suffolk.</w:t>
      </w:r>
    </w:p>
    <w:p w:rsidRPr="009C7FC1" w:rsidR="00C8494A" w:rsidP="0016762E" w:rsidRDefault="00C8494A" w14:paraId="31639467" w14:textId="2EE89E04">
      <w:pPr>
        <w:rPr>
          <w:b/>
        </w:rPr>
      </w:pPr>
      <w:r w:rsidRPr="009C7FC1">
        <w:rPr>
          <w:b/>
        </w:rPr>
        <w:t xml:space="preserve">Our Budget </w:t>
      </w:r>
      <w:r w:rsidRPr="009C7FC1" w:rsidR="009C7FC1">
        <w:rPr>
          <w:b/>
        </w:rPr>
        <w:t xml:space="preserve">and Spending </w:t>
      </w:r>
      <w:r w:rsidRPr="009C7FC1">
        <w:rPr>
          <w:b/>
        </w:rPr>
        <w:t>2019-20</w:t>
      </w:r>
    </w:p>
    <w:p w:rsidR="00C8494A" w:rsidP="0016762E" w:rsidRDefault="009C7FC1" w14:paraId="44426277" w14:textId="3E63D693">
      <w:r>
        <w:t>The total Fire Service budget for the 2019/20 financial year is £21,548,845.  This money is divided into the following high-level breakdown.</w:t>
      </w:r>
    </w:p>
    <w:p w:rsidR="009C7FC1" w:rsidP="0016762E" w:rsidRDefault="009C7FC1" w14:paraId="32A47578" w14:textId="25B3386A">
      <w:r>
        <w:rPr>
          <w:noProof/>
        </w:rPr>
        <w:drawing>
          <wp:inline distT="0" distB="0" distL="0" distR="0" wp14:anchorId="67880908" wp14:editId="00EEA086">
            <wp:extent cx="5731510" cy="3905885"/>
            <wp:effectExtent l="0" t="0" r="2540" b="18415"/>
            <wp:docPr id="3" name="Chart 3">
              <a:extLst xmlns:a="http://schemas.openxmlformats.org/drawingml/2006/main">
                <a:ext uri="{FF2B5EF4-FFF2-40B4-BE49-F238E27FC236}">
                  <a16:creationId xmlns:a16="http://schemas.microsoft.com/office/drawing/2014/main" id="{7F5BC48F-C09B-401F-B457-D460229CD9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8494A" w:rsidP="009C7FC1" w:rsidRDefault="009C7FC1" w14:paraId="518BE69B" w14:textId="607A50D6">
      <w:r>
        <w:lastRenderedPageBreak/>
        <w:t>The chart shows that the largest proportion of spend will be on firefighters and officers delivering front line fire and rescue services in our communities.  The expenditure budget for our staff, £16,167,266 is divided in the following way between our departments;</w:t>
      </w:r>
    </w:p>
    <w:p w:rsidR="00502786" w:rsidP="009C7FC1" w:rsidRDefault="009C7FC1" w14:paraId="21974719" w14:textId="172B9D85">
      <w:r>
        <w:rPr>
          <w:noProof/>
        </w:rPr>
        <w:drawing>
          <wp:inline distT="0" distB="0" distL="0" distR="0" wp14:anchorId="698287B6" wp14:editId="5324A773">
            <wp:extent cx="5762625" cy="3581400"/>
            <wp:effectExtent l="0" t="0" r="9525" b="0"/>
            <wp:docPr id="4" name="Chart 4">
              <a:extLst xmlns:a="http://schemas.openxmlformats.org/drawingml/2006/main">
                <a:ext uri="{FF2B5EF4-FFF2-40B4-BE49-F238E27FC236}">
                  <a16:creationId xmlns:a16="http://schemas.microsoft.com/office/drawing/2014/main" id="{8076AD57-FFBD-4B84-9369-BCFB5E0210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02786" w:rsidP="009C7FC1" w:rsidRDefault="00502786" w14:paraId="653ECEAE" w14:textId="68758208">
      <w:r>
        <w:t>Our total budget (2019/20) displayed in Operational Service Areas is shown below;</w:t>
      </w:r>
    </w:p>
    <w:p w:rsidR="00502786" w:rsidP="009C7FC1" w:rsidRDefault="00502786" w14:paraId="7F0A573A" w14:textId="62D3A856">
      <w:r>
        <w:rPr>
          <w:noProof/>
        </w:rPr>
        <w:drawing>
          <wp:inline distT="0" distB="0" distL="0" distR="0" wp14:anchorId="6CEDDEDB" wp14:editId="078D11AE">
            <wp:extent cx="5781675" cy="3667125"/>
            <wp:effectExtent l="0" t="0" r="9525" b="9525"/>
            <wp:docPr id="5" name="Chart 5">
              <a:extLst xmlns:a="http://schemas.openxmlformats.org/drawingml/2006/main">
                <a:ext uri="{FF2B5EF4-FFF2-40B4-BE49-F238E27FC236}">
                  <a16:creationId xmlns:a16="http://schemas.microsoft.com/office/drawing/2014/main" id="{DFF7EC89-1EED-494D-ABEA-51B08C14E7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sectPr w:rsidR="005027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B56B5"/>
    <w:multiLevelType w:val="hybridMultilevel"/>
    <w:tmpl w:val="43E4E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62E"/>
    <w:rsid w:val="0013538A"/>
    <w:rsid w:val="0016762E"/>
    <w:rsid w:val="002325E2"/>
    <w:rsid w:val="003A4777"/>
    <w:rsid w:val="00443E23"/>
    <w:rsid w:val="00502786"/>
    <w:rsid w:val="009733BF"/>
    <w:rsid w:val="009C7FC1"/>
    <w:rsid w:val="00C8494A"/>
    <w:rsid w:val="00E935E3"/>
    <w:rsid w:val="00EB3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B4D6D"/>
  <w15:docId w15:val="{690450BC-0ED7-4179-B932-ACEA7584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62E"/>
    <w:rPr>
      <w:rFonts w:ascii="Tahoma" w:hAnsi="Tahoma" w:cs="Tahoma"/>
      <w:sz w:val="16"/>
      <w:szCs w:val="16"/>
    </w:rPr>
  </w:style>
  <w:style w:type="paragraph" w:styleId="ListParagraph">
    <w:name w:val="List Paragraph"/>
    <w:basedOn w:val="Normal"/>
    <w:uiPriority w:val="34"/>
    <w:qFormat/>
    <w:rsid w:val="00167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hart" Target="charts/chart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ammsa\AppData\Local\Microsoft\Windows\INetCache\Content.Outlook\FVBGLDZO\Finance%20Data%2018-19%20and%2019-20.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ammsa\AppData\Local\Microsoft\Windows\INetCache\Content.Outlook\FVBGLDZO\Finance%20Data%2018-19%20and%2019-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ammsa\AppData\Local\Microsoft\Windows\INetCache\Content.Outlook\FVBGLDZO\Finance%20Data%2018-19%20and%2019-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ammsa\AppData\Local\Microsoft\Windows\INetCache\Content.Outlook\FVBGLDZO\Finance%20Data%2018-19%20and%2019-20.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dk1"/>
                </a:solidFill>
                <a:latin typeface="+mn-lt"/>
                <a:ea typeface="+mn-ea"/>
                <a:cs typeface="+mn-cs"/>
              </a:defRPr>
            </a:pPr>
            <a:r>
              <a:rPr lang="en-US" sz="1800" b="1"/>
              <a:t>Total Fire Service 18-19 Budget £</a:t>
            </a:r>
            <a:r>
              <a:rPr lang="en-US" sz="1800" b="1" baseline="0"/>
              <a:t>21,699,866</a:t>
            </a:r>
          </a:p>
        </c:rich>
      </c:tx>
      <c:overlay val="0"/>
      <c:spPr>
        <a:noFill/>
        <a:ln>
          <a:noFill/>
        </a:ln>
        <a:effectLst/>
      </c:spPr>
      <c:txPr>
        <a:bodyPr rot="0" spcFirstLastPara="1" vertOverflow="ellipsis" vert="horz" wrap="square" anchor="ctr" anchorCtr="1"/>
        <a:lstStyle/>
        <a:p>
          <a:pPr>
            <a:defRPr sz="1600" b="1" i="0" u="none" strike="noStrike" kern="1200" spc="0" baseline="0">
              <a:solidFill>
                <a:schemeClr val="dk1"/>
              </a:solidFill>
              <a:latin typeface="+mn-lt"/>
              <a:ea typeface="+mn-ea"/>
              <a:cs typeface="+mn-cs"/>
            </a:defRPr>
          </a:pPr>
          <a:endParaRPr lang="en-US"/>
        </a:p>
      </c:txPr>
    </c:title>
    <c:autoTitleDeleted val="0"/>
    <c:plotArea>
      <c:layout>
        <c:manualLayout>
          <c:layoutTarget val="inner"/>
          <c:xMode val="edge"/>
          <c:yMode val="edge"/>
          <c:x val="2.685046890628642E-2"/>
          <c:y val="0.13573417727214476"/>
          <c:w val="0.60308568162504039"/>
          <c:h val="0.76398135311481319"/>
        </c:manualLayout>
      </c:layout>
      <c:pieChart>
        <c:varyColors val="1"/>
        <c:ser>
          <c:idx val="0"/>
          <c:order val="0"/>
          <c:tx>
            <c:strRef>
              <c:f>'18-19 OUTTURN PIE'!$A$14</c:f>
              <c:strCache>
                <c:ptCount val="1"/>
                <c:pt idx="0">
                  <c:v>Total Fire Service 18-19 Budget £21.6m</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8CE-4706-9D11-351683CFC9A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8CE-4706-9D11-351683CFC9A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8CE-4706-9D11-351683CFC9A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8CE-4706-9D11-351683CFC9A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8CE-4706-9D11-351683CFC9A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8CE-4706-9D11-351683CFC9A0}"/>
              </c:ext>
            </c:extLst>
          </c:dPt>
          <c:cat>
            <c:strRef>
              <c:f>'18-19 OUTTURN PIE'!$B$13:$G$13</c:f>
              <c:strCache>
                <c:ptCount val="6"/>
                <c:pt idx="0">
                  <c:v>Employee Expenses</c:v>
                </c:pt>
                <c:pt idx="1">
                  <c:v>Premises Expenses</c:v>
                </c:pt>
                <c:pt idx="2">
                  <c:v>Transport Expenses</c:v>
                </c:pt>
                <c:pt idx="3">
                  <c:v>Supplies and Service</c:v>
                </c:pt>
                <c:pt idx="4">
                  <c:v>Renewals/Reserves</c:v>
                </c:pt>
                <c:pt idx="5">
                  <c:v>Income</c:v>
                </c:pt>
              </c:strCache>
            </c:strRef>
          </c:cat>
          <c:val>
            <c:numRef>
              <c:f>'18-19 OUTTURN PIE'!$B$14:$G$14</c:f>
              <c:numCache>
                <c:formatCode>#,##0.00</c:formatCode>
                <c:ptCount val="6"/>
                <c:pt idx="0">
                  <c:v>16186239.700000001</c:v>
                </c:pt>
                <c:pt idx="1">
                  <c:v>1175286.1500000004</c:v>
                </c:pt>
                <c:pt idx="2">
                  <c:v>628909.05999999994</c:v>
                </c:pt>
                <c:pt idx="3">
                  <c:v>6364834.4699999997</c:v>
                </c:pt>
                <c:pt idx="4">
                  <c:v>437007.89</c:v>
                </c:pt>
                <c:pt idx="5">
                  <c:v>-2970731.64</c:v>
                </c:pt>
              </c:numCache>
            </c:numRef>
          </c:val>
          <c:extLst>
            <c:ext xmlns:c16="http://schemas.microsoft.com/office/drawing/2014/chart" uri="{C3380CC4-5D6E-409C-BE32-E72D297353CC}">
              <c16:uniqueId val="{0000000C-C8CE-4706-9D11-351683CFC9A0}"/>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8200452737104134"/>
          <c:y val="0.21204810875037822"/>
          <c:w val="0.26208529807699538"/>
          <c:h val="0.3327618440798463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chemeClr val="dk1"/>
                </a:solidFill>
                <a:latin typeface="+mn-lt"/>
                <a:ea typeface="+mn-ea"/>
                <a:cs typeface="+mn-cs"/>
              </a:defRPr>
            </a:pPr>
            <a:r>
              <a:rPr lang="en-US" sz="1800" b="1"/>
              <a:t>Total Fire Service 19-20 Budget £21,548,845</a:t>
            </a:r>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dk1"/>
              </a:solidFill>
              <a:latin typeface="+mn-lt"/>
              <a:ea typeface="+mn-ea"/>
              <a:cs typeface="+mn-cs"/>
            </a:defRPr>
          </a:pPr>
          <a:endParaRPr lang="en-US"/>
        </a:p>
      </c:txPr>
    </c:title>
    <c:autoTitleDeleted val="0"/>
    <c:plotArea>
      <c:layout>
        <c:manualLayout>
          <c:layoutTarget val="inner"/>
          <c:xMode val="edge"/>
          <c:yMode val="edge"/>
          <c:x val="8.5184270716896479E-2"/>
          <c:y val="0.11092659446450061"/>
          <c:w val="0.65160271053818219"/>
          <c:h val="0.82920549191278892"/>
        </c:manualLayout>
      </c:layout>
      <c:pieChart>
        <c:varyColors val="1"/>
        <c:ser>
          <c:idx val="0"/>
          <c:order val="0"/>
          <c:tx>
            <c:strRef>
              <c:f>'19-20 BUDGET PIE'!$A$15</c:f>
              <c:strCache>
                <c:ptCount val="1"/>
                <c:pt idx="0">
                  <c:v>Total Fire Service 19-20 Budget £21,548,845</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7C0-4117-A779-D03FD276E6A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7C0-4117-A779-D03FD276E6A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7C0-4117-A779-D03FD276E6A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7C0-4117-A779-D03FD276E6A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7C0-4117-A779-D03FD276E6A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7C0-4117-A779-D03FD276E6A8}"/>
              </c:ext>
            </c:extLst>
          </c:dPt>
          <c:cat>
            <c:strRef>
              <c:f>'19-20 BUDGET PIE'!$B$14:$G$14</c:f>
              <c:strCache>
                <c:ptCount val="6"/>
                <c:pt idx="0">
                  <c:v>Employee Expenses</c:v>
                </c:pt>
                <c:pt idx="1">
                  <c:v>Premises Expenses</c:v>
                </c:pt>
                <c:pt idx="2">
                  <c:v>Transport Expenses</c:v>
                </c:pt>
                <c:pt idx="3">
                  <c:v>Supplies and Service</c:v>
                </c:pt>
                <c:pt idx="4">
                  <c:v>Renewals/Reserves</c:v>
                </c:pt>
                <c:pt idx="5">
                  <c:v>Income</c:v>
                </c:pt>
              </c:strCache>
            </c:strRef>
          </c:cat>
          <c:val>
            <c:numRef>
              <c:f>'19-20 BUDGET PIE'!$B$15:$G$15</c:f>
              <c:numCache>
                <c:formatCode>#,##0.00</c:formatCode>
                <c:ptCount val="6"/>
                <c:pt idx="0">
                  <c:v>16167266</c:v>
                </c:pt>
                <c:pt idx="1">
                  <c:v>1189935</c:v>
                </c:pt>
                <c:pt idx="2">
                  <c:v>561342</c:v>
                </c:pt>
                <c:pt idx="3">
                  <c:v>6480071</c:v>
                </c:pt>
                <c:pt idx="4">
                  <c:v>-135479</c:v>
                </c:pt>
                <c:pt idx="5">
                  <c:v>-2714290</c:v>
                </c:pt>
              </c:numCache>
            </c:numRef>
          </c:val>
          <c:extLst>
            <c:ext xmlns:c16="http://schemas.microsoft.com/office/drawing/2014/chart" uri="{C3380CC4-5D6E-409C-BE32-E72D297353CC}">
              <c16:uniqueId val="{0000000C-47C0-4117-A779-D03FD276E6A8}"/>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2196204799540153"/>
          <c:y val="0.35198499104579439"/>
          <c:w val="0.24237205725703556"/>
          <c:h val="0.3567996058254450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dk1"/>
                </a:solidFill>
                <a:latin typeface="+mn-lt"/>
                <a:ea typeface="+mn-ea"/>
                <a:cs typeface="+mn-cs"/>
              </a:defRPr>
            </a:pPr>
            <a:r>
              <a:rPr lang="en-US" sz="1400" b="1" baseline="0"/>
              <a:t>Total Employee Expenses Budget 19-20 £16,167,266</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dk1"/>
              </a:solidFill>
              <a:latin typeface="+mn-lt"/>
              <a:ea typeface="+mn-ea"/>
              <a:cs typeface="+mn-cs"/>
            </a:defRPr>
          </a:pPr>
          <a:endParaRPr lang="en-US"/>
        </a:p>
      </c:txPr>
    </c:title>
    <c:autoTitleDeleted val="0"/>
    <c:plotArea>
      <c:layout>
        <c:manualLayout>
          <c:layoutTarget val="inner"/>
          <c:xMode val="edge"/>
          <c:yMode val="edge"/>
          <c:x val="6.4599693962557478E-2"/>
          <c:y val="0.17047961630695443"/>
          <c:w val="0.55561690246886475"/>
          <c:h val="0.75248116467455961"/>
        </c:manualLayout>
      </c:layout>
      <c:pieChart>
        <c:varyColors val="1"/>
        <c:ser>
          <c:idx val="0"/>
          <c:order val="0"/>
          <c:tx>
            <c:strRef>
              <c:f>'19-20 BUDGET PIE'!$B$18</c:f>
              <c:strCache>
                <c:ptCount val="1"/>
                <c:pt idx="0">
                  <c:v>Employee Expenses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305-47C0-90FD-EC21C6CB8B0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305-47C0-90FD-EC21C6CB8B0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305-47C0-90FD-EC21C6CB8B0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305-47C0-90FD-EC21C6CB8B0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305-47C0-90FD-EC21C6CB8B0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305-47C0-90FD-EC21C6CB8B0E}"/>
              </c:ext>
            </c:extLst>
          </c:dPt>
          <c:cat>
            <c:strRef>
              <c:f>'19-20 BUDGET PIE'!$A$19:$A$24</c:f>
              <c:strCache>
                <c:ptCount val="6"/>
                <c:pt idx="0">
                  <c:v>Operational Development and Support Services</c:v>
                </c:pt>
                <c:pt idx="1">
                  <c:v>Operational Response</c:v>
                </c:pt>
                <c:pt idx="2">
                  <c:v>People and Performance</c:v>
                </c:pt>
                <c:pt idx="3">
                  <c:v>Prevention</c:v>
                </c:pt>
                <c:pt idx="4">
                  <c:v>Protection</c:v>
                </c:pt>
                <c:pt idx="5">
                  <c:v>Risk and Resilience</c:v>
                </c:pt>
              </c:strCache>
            </c:strRef>
          </c:cat>
          <c:val>
            <c:numRef>
              <c:f>'19-20 BUDGET PIE'!$B$19:$B$24</c:f>
              <c:numCache>
                <c:formatCode>General</c:formatCode>
                <c:ptCount val="6"/>
                <c:pt idx="0">
                  <c:v>2043155</c:v>
                </c:pt>
                <c:pt idx="1">
                  <c:v>10474132</c:v>
                </c:pt>
                <c:pt idx="2">
                  <c:v>1898735</c:v>
                </c:pt>
                <c:pt idx="3">
                  <c:v>310783</c:v>
                </c:pt>
                <c:pt idx="4">
                  <c:v>919216</c:v>
                </c:pt>
                <c:pt idx="5">
                  <c:v>521245</c:v>
                </c:pt>
              </c:numCache>
            </c:numRef>
          </c:val>
          <c:extLst>
            <c:ext xmlns:c16="http://schemas.microsoft.com/office/drawing/2014/chart" uri="{C3380CC4-5D6E-409C-BE32-E72D297353CC}">
              <c16:uniqueId val="{0000000C-5305-47C0-90FD-EC21C6CB8B0E}"/>
            </c:ext>
          </c:extLst>
        </c:ser>
        <c:dLbls>
          <c:showLegendKey val="0"/>
          <c:showVal val="0"/>
          <c:showCatName val="0"/>
          <c:showSerName val="0"/>
          <c:showPercent val="0"/>
          <c:showBubbleSize val="0"/>
          <c:showLeaderLines val="1"/>
        </c:dLbls>
        <c:firstSliceAng val="324"/>
      </c:pieChart>
      <c:spPr>
        <a:noFill/>
        <a:ln>
          <a:noFill/>
        </a:ln>
        <a:effectLst/>
      </c:spPr>
    </c:plotArea>
    <c:legend>
      <c:legendPos val="b"/>
      <c:layout>
        <c:manualLayout>
          <c:xMode val="edge"/>
          <c:yMode val="edge"/>
          <c:x val="0.64913260344448975"/>
          <c:y val="0.25629411431484733"/>
          <c:w val="0.29137608794916575"/>
          <c:h val="0.652578787363809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US" sz="1400" b="1"/>
              <a:t>Total Budget 19-20 Budget of £21,548,845 Split By Operational Service Areas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plotArea>
      <c:layout>
        <c:manualLayout>
          <c:layoutTarget val="inner"/>
          <c:xMode val="edge"/>
          <c:yMode val="edge"/>
          <c:x val="5.1978177175027569E-2"/>
          <c:y val="0.17572212065813528"/>
          <c:w val="0.50292325252955172"/>
          <c:h val="0.74840864270393992"/>
        </c:manualLayout>
      </c:layout>
      <c:pieChart>
        <c:varyColors val="1"/>
        <c:ser>
          <c:idx val="0"/>
          <c:order val="0"/>
          <c:tx>
            <c:strRef>
              <c:f>'19-20 BUDGET PIE'!$D$18</c:f>
              <c:strCache>
                <c:ptCount val="1"/>
                <c:pt idx="0">
                  <c:v>Total Budget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34D-4A3C-BF1F-6B47F7E2E2C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34D-4A3C-BF1F-6B47F7E2E2C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34D-4A3C-BF1F-6B47F7E2E2C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34D-4A3C-BF1F-6B47F7E2E2C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34D-4A3C-BF1F-6B47F7E2E2C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34D-4A3C-BF1F-6B47F7E2E2C5}"/>
              </c:ext>
            </c:extLst>
          </c:dPt>
          <c:cat>
            <c:strRef>
              <c:f>'19-20 BUDGET PIE'!$C$19:$C$24</c:f>
              <c:strCache>
                <c:ptCount val="6"/>
                <c:pt idx="0">
                  <c:v>Operational Development and Support Services</c:v>
                </c:pt>
                <c:pt idx="1">
                  <c:v>Operational Response</c:v>
                </c:pt>
                <c:pt idx="2">
                  <c:v>People and Performance</c:v>
                </c:pt>
                <c:pt idx="3">
                  <c:v>Prevention</c:v>
                </c:pt>
                <c:pt idx="4">
                  <c:v>Protection</c:v>
                </c:pt>
                <c:pt idx="5">
                  <c:v>Risk and Resilience</c:v>
                </c:pt>
              </c:strCache>
            </c:strRef>
          </c:cat>
          <c:val>
            <c:numRef>
              <c:f>'19-20 BUDGET PIE'!$D$19:$D$24</c:f>
              <c:numCache>
                <c:formatCode>General</c:formatCode>
                <c:ptCount val="6"/>
                <c:pt idx="0">
                  <c:v>6562695</c:v>
                </c:pt>
                <c:pt idx="1">
                  <c:v>10654442</c:v>
                </c:pt>
                <c:pt idx="2">
                  <c:v>2470839</c:v>
                </c:pt>
                <c:pt idx="3">
                  <c:v>369883</c:v>
                </c:pt>
                <c:pt idx="4">
                  <c:v>961556</c:v>
                </c:pt>
                <c:pt idx="5">
                  <c:v>529430</c:v>
                </c:pt>
              </c:numCache>
            </c:numRef>
          </c:val>
          <c:extLst>
            <c:ext xmlns:c16="http://schemas.microsoft.com/office/drawing/2014/chart" uri="{C3380CC4-5D6E-409C-BE32-E72D297353CC}">
              <c16:uniqueId val="{0000000C-534D-4A3C-BF1F-6B47F7E2E2C5}"/>
            </c:ext>
          </c:extLst>
        </c:ser>
        <c:dLbls>
          <c:showLegendKey val="0"/>
          <c:showVal val="0"/>
          <c:showCatName val="0"/>
          <c:showSerName val="0"/>
          <c:showPercent val="0"/>
          <c:showBubbleSize val="0"/>
          <c:showLeaderLines val="1"/>
        </c:dLbls>
        <c:firstSliceAng val="268"/>
      </c:pieChart>
      <c:spPr>
        <a:noFill/>
        <a:ln>
          <a:noFill/>
        </a:ln>
        <a:effectLst/>
      </c:spPr>
    </c:plotArea>
    <c:legend>
      <c:legendPos val="b"/>
      <c:layout>
        <c:manualLayout>
          <c:xMode val="edge"/>
          <c:yMode val="edge"/>
          <c:x val="0.61174885694570735"/>
          <c:y val="0.27574563234440302"/>
          <c:w val="0.31212882173512102"/>
          <c:h val="0.6121276156750973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0.63897</cdr:x>
      <cdr:y>0.65336</cdr:y>
    </cdr:from>
    <cdr:to>
      <cdr:x>0.95415</cdr:x>
      <cdr:y>0.93103</cdr:y>
    </cdr:to>
    <cdr:sp macro="" textlink="">
      <cdr:nvSpPr>
        <cdr:cNvPr id="2" name="TextBox 1">
          <a:extLst xmlns:a="http://schemas.openxmlformats.org/drawingml/2006/main">
            <a:ext uri="{FF2B5EF4-FFF2-40B4-BE49-F238E27FC236}">
              <a16:creationId xmlns:a16="http://schemas.microsoft.com/office/drawing/2014/main" id="{D60E15CC-35DD-4EE1-AC16-FA197C60166A}"/>
            </a:ext>
          </a:extLst>
        </cdr:cNvPr>
        <cdr:cNvSpPr txBox="1"/>
      </cdr:nvSpPr>
      <cdr:spPr>
        <a:xfrm xmlns:a="http://schemas.openxmlformats.org/drawingml/2006/main">
          <a:off x="4248151" y="3429000"/>
          <a:ext cx="2095500" cy="1457325"/>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r>
            <a:rPr lang="en-GB" sz="1400"/>
            <a:t>Pie Chart showing breakdown</a:t>
          </a:r>
          <a:r>
            <a:rPr lang="en-GB" sz="1400" baseline="0"/>
            <a:t> of SFRS expenditure and income in 2018-19 Financial Year.</a:t>
          </a:r>
          <a:endParaRPr lang="en-GB" sz="14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c8d2e8a-44e0-4f53-bf69-bb4763e2bfa0"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B06998F53C31214EAD2000565BBB8691" ma:contentTypeVersion="7" ma:contentTypeDescription="Create a new document." ma:contentTypeScope="" ma:versionID="351220f62c1d1c15583aab5ee5dbacdc">
  <xsd:schema xmlns:xsd="http://www.w3.org/2001/XMLSchema" xmlns:xs="http://www.w3.org/2001/XMLSchema" xmlns:p="http://schemas.microsoft.com/office/2006/metadata/properties" xmlns:ns2="072b16ef-1df7-47e9-a966-0f29ed58e803" targetNamespace="http://schemas.microsoft.com/office/2006/metadata/properties" ma:root="true" ma:fieldsID="3f415ed97e6e5961518c03730596fe39" ns2:_="">
    <xsd:import namespace="072b16ef-1df7-47e9-a966-0f29ed58e803"/>
    <xsd:element name="properties">
      <xsd:complexType>
        <xsd:sequence>
          <xsd:element name="documentManagement">
            <xsd:complexType>
              <xsd:all>
                <xsd:element ref="ns2:_dlc_DocId" minOccurs="0"/>
                <xsd:element ref="ns2:_dlc_DocIdUrl" minOccurs="0"/>
                <xsd:element ref="ns2:_dlc_DocIdPersistId" minOccurs="0"/>
                <xsd:element ref="ns2:Protective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b16ef-1df7-47e9-a966-0f29ed58e8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tective_x0020_Marking" ma:index="11" nillable="true" ma:displayName="Protective Marking" ma:format="Dropdown" ma:internalName="Protective_x0020_Marking">
      <xsd:simpleType>
        <xsd:restriction base="dms:Choice">
          <xsd:enumeration value="NOT PROTECTIVELY MARKED"/>
          <xsd:enumeration value="OFFICIAL"/>
          <xsd:enumeration value="OFFICIAL -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http://appsportal.suffire.suffolk-fire.gov.uk</xsnScope>
</customXsn>
</file>

<file path=customXml/item6.xml><?xml version="1.0" encoding="utf-8"?>
<p:properties xmlns:p="http://schemas.microsoft.com/office/2006/metadata/properties" xmlns:xsi="http://www.w3.org/2001/XMLSchema-instance" xmlns:pc="http://schemas.microsoft.com/office/infopath/2007/PartnerControls">
  <documentManagement>
    <Protective_x0020_Marking xmlns="072b16ef-1df7-47e9-a966-0f29ed58e803" xsi:nil="true"/>
  </documentManagement>
</p:properties>
</file>

<file path=customXml/itemProps1.xml><?xml version="1.0" encoding="utf-8"?>
<ds:datastoreItem xmlns:ds="http://schemas.openxmlformats.org/officeDocument/2006/customXml" ds:itemID="{C26D40BB-AC7A-42FF-8E35-AAFCAD1D1A0C}">
  <ds:schemaRefs>
    <ds:schemaRef ds:uri="http://schemas.microsoft.com/sharepoint/events"/>
  </ds:schemaRefs>
</ds:datastoreItem>
</file>

<file path=customXml/itemProps2.xml><?xml version="1.0" encoding="utf-8"?>
<ds:datastoreItem xmlns:ds="http://schemas.openxmlformats.org/officeDocument/2006/customXml" ds:itemID="{65EC6D97-4A97-4B49-BD84-CE5FE1F1E495}">
  <ds:schemaRefs>
    <ds:schemaRef ds:uri="http://schemas.microsoft.com/sharepoint/v3/contenttype/forms"/>
  </ds:schemaRefs>
</ds:datastoreItem>
</file>

<file path=customXml/itemProps3.xml><?xml version="1.0" encoding="utf-8"?>
<ds:datastoreItem xmlns:ds="http://schemas.openxmlformats.org/officeDocument/2006/customXml" ds:itemID="{CD6706A7-44CE-418D-8EDB-500C037A1094}">
  <ds:schemaRefs>
    <ds:schemaRef ds:uri="Microsoft.SharePoint.Taxonomy.ContentTypeSync"/>
  </ds:schemaRefs>
</ds:datastoreItem>
</file>

<file path=customXml/itemProps4.xml><?xml version="1.0" encoding="utf-8"?>
<ds:datastoreItem xmlns:ds="http://schemas.openxmlformats.org/officeDocument/2006/customXml" ds:itemID="{0F3C8E55-085C-4A3E-912C-D922B1F1E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b16ef-1df7-47e9-a966-0f29ed58e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2FED53-5AAE-4FA7-91FF-D8F31B7F5D93}">
  <ds:schemaRefs>
    <ds:schemaRef ds:uri="http://schemas.microsoft.com/office/2006/metadata/customXsn"/>
  </ds:schemaRefs>
</ds:datastoreItem>
</file>

<file path=customXml/itemProps6.xml><?xml version="1.0" encoding="utf-8"?>
<ds:datastoreItem xmlns:ds="http://schemas.openxmlformats.org/officeDocument/2006/customXml" ds:itemID="{B5417BF5-5FA6-49CD-8EF8-C3FCC0D281BD}">
  <ds:schemaRefs>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purl.org/dc/dcmitype/"/>
    <ds:schemaRef ds:uri="072b16ef-1df7-47e9-a966-0f29ed58e80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CIO IT Services</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Hammond</dc:creator>
  <cp:lastModifiedBy>Migratortron</cp:lastModifiedBy>
  <cp:revision>2</cp:revision>
  <dcterms:created xsi:type="dcterms:W3CDTF">2019-06-20T07:42:00Z</dcterms:created>
  <dcterms:modified xsi:type="dcterms:W3CDTF">2022-11-22T14:20:03Z</dcterms:modified>
  <dc:title>suffolk-fire-and-rescue-service-budget-and-spending-18-19</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0x010100B06998F53C31214EAD2000565BBB8691</vt:lpwstr>
  </property>
</Properties>
</file>