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69D7" w:rsidRDefault="00BB6420" w14:paraId="152B44B6" w14:textId="3EEA1C7C">
      <w:pPr>
        <w:spacing w:after="72"/>
      </w:pPr>
      <w:r>
        <w:rPr>
          <w:noProof/>
        </w:rPr>
        <w:drawing>
          <wp:anchor distT="0" distB="0" distL="114300" distR="114300" simplePos="0" relativeHeight="251658240" behindDoc="0" locked="0" layoutInCell="1" allowOverlap="0" wp14:editId="41C3B26F" wp14:anchorId="63E7EE26">
            <wp:simplePos x="0" y="0"/>
            <wp:positionH relativeFrom="column">
              <wp:posOffset>6809740</wp:posOffset>
            </wp:positionH>
            <wp:positionV relativeFrom="paragraph">
              <wp:posOffset>0</wp:posOffset>
            </wp:positionV>
            <wp:extent cx="1908048" cy="563880"/>
            <wp:effectExtent l="0" t="0" r="0" b="0"/>
            <wp:wrapSquare wrapText="bothSides"/>
            <wp:docPr id="23686" name="Picture 23686"/>
            <wp:cNvGraphicFramePr/>
            <a:graphic xmlns:a="http://schemas.openxmlformats.org/drawingml/2006/main">
              <a:graphicData uri="http://schemas.openxmlformats.org/drawingml/2006/picture">
                <pic:pic xmlns:pic="http://schemas.openxmlformats.org/drawingml/2006/picture">
                  <pic:nvPicPr>
                    <pic:cNvPr id="23686" name="Picture 23686"/>
                    <pic:cNvPicPr/>
                  </pic:nvPicPr>
                  <pic:blipFill>
                    <a:blip r:embed="rId7"/>
                    <a:stretch>
                      <a:fillRect/>
                    </a:stretch>
                  </pic:blipFill>
                  <pic:spPr>
                    <a:xfrm>
                      <a:off x="0" y="0"/>
                      <a:ext cx="1908048" cy="563880"/>
                    </a:xfrm>
                    <a:prstGeom prst="rect">
                      <a:avLst/>
                    </a:prstGeom>
                  </pic:spPr>
                </pic:pic>
              </a:graphicData>
            </a:graphic>
          </wp:anchor>
        </w:drawing>
      </w:r>
      <w:r w:rsidR="009B2C41">
        <w:rPr>
          <w:rFonts w:ascii="Arial" w:hAnsi="Arial" w:eastAsia="Arial" w:cs="Arial"/>
          <w:b/>
          <w:sz w:val="16"/>
        </w:rPr>
        <w:t xml:space="preserve"> </w:t>
      </w:r>
    </w:p>
    <w:p w:rsidR="00A969D7" w:rsidRDefault="009B2C41" w14:paraId="37F7BE4E" w14:textId="02101B0B">
      <w:pPr>
        <w:spacing w:after="0"/>
        <w:ind w:left="-36"/>
      </w:pPr>
      <w:r>
        <w:t xml:space="preserve"> </w:t>
      </w:r>
    </w:p>
    <w:p w:rsidR="00A969D7" w:rsidRDefault="009B2C41" w14:paraId="364C750D" w14:textId="77777777">
      <w:pPr>
        <w:spacing w:after="428"/>
      </w:pPr>
      <w:r>
        <w:rPr>
          <w:rFonts w:ascii="Arial" w:hAnsi="Arial" w:eastAsia="Arial" w:cs="Arial"/>
          <w:b/>
          <w:sz w:val="4"/>
        </w:rPr>
        <w:t xml:space="preserve">   </w:t>
      </w:r>
    </w:p>
    <w:p w:rsidR="00A969D7" w:rsidRDefault="009B2C41" w14:paraId="2E334ED6" w14:textId="77777777">
      <w:pPr>
        <w:spacing w:after="214" w:line="268" w:lineRule="auto"/>
        <w:ind w:left="-5" w:hanging="10"/>
        <w:jc w:val="both"/>
      </w:pPr>
      <w:r>
        <w:rPr>
          <w:rFonts w:ascii="Arial" w:hAnsi="Arial" w:eastAsia="Arial" w:cs="Arial"/>
          <w:b/>
          <w:sz w:val="28"/>
        </w:rPr>
        <w:t xml:space="preserve">Best Interests </w:t>
      </w:r>
      <w:proofErr w:type="gramStart"/>
      <w:r>
        <w:rPr>
          <w:rFonts w:ascii="Arial" w:hAnsi="Arial" w:eastAsia="Arial" w:cs="Arial"/>
          <w:b/>
          <w:sz w:val="28"/>
        </w:rPr>
        <w:t>Decisions;</w:t>
      </w:r>
      <w:proofErr w:type="gramEnd"/>
      <w:r>
        <w:rPr>
          <w:rFonts w:ascii="Arial" w:hAnsi="Arial" w:eastAsia="Arial" w:cs="Arial"/>
          <w:b/>
          <w:sz w:val="28"/>
        </w:rPr>
        <w:t xml:space="preserve"> </w:t>
      </w:r>
    </w:p>
    <w:p w:rsidR="00A969D7" w:rsidRDefault="009B2C41" w14:paraId="01643CCA" w14:textId="77777777">
      <w:pPr>
        <w:spacing w:after="176" w:line="268" w:lineRule="auto"/>
        <w:ind w:left="-5" w:hanging="10"/>
        <w:jc w:val="both"/>
      </w:pPr>
      <w:r>
        <w:rPr>
          <w:rFonts w:ascii="Arial" w:hAnsi="Arial" w:eastAsia="Arial" w:cs="Arial"/>
          <w:b/>
          <w:sz w:val="28"/>
        </w:rPr>
        <w:t xml:space="preserve">The Balance Sheet approach; supporting assessors with the </w:t>
      </w:r>
      <w:proofErr w:type="gramStart"/>
      <w:r>
        <w:rPr>
          <w:rFonts w:ascii="Arial" w:hAnsi="Arial" w:eastAsia="Arial" w:cs="Arial"/>
          <w:b/>
          <w:sz w:val="28"/>
        </w:rPr>
        <w:t>process</w:t>
      </w:r>
      <w:proofErr w:type="gramEnd"/>
      <w:r>
        <w:rPr>
          <w:rFonts w:ascii="Arial" w:hAnsi="Arial" w:eastAsia="Arial" w:cs="Arial"/>
          <w:b/>
          <w:sz w:val="28"/>
        </w:rPr>
        <w:t xml:space="preserve"> </w:t>
      </w:r>
    </w:p>
    <w:p w:rsidR="00A969D7" w:rsidRDefault="009B2C41" w14:paraId="7D7CCB13" w14:textId="29A03D53">
      <w:pPr>
        <w:spacing w:after="206" w:line="268" w:lineRule="auto"/>
        <w:ind w:left="-5" w:hanging="10"/>
      </w:pPr>
      <w:r>
        <w:rPr>
          <w:rFonts w:ascii="Arial" w:hAnsi="Arial" w:eastAsia="Arial" w:cs="Arial"/>
          <w:b/>
          <w:sz w:val="24"/>
        </w:rPr>
        <w:t xml:space="preserve">This guidance is for all members of staff working with customers </w:t>
      </w:r>
      <w:r w:rsidRPr="00BB6420">
        <w:rPr>
          <w:rFonts w:ascii="Arial" w:hAnsi="Arial" w:eastAsia="Arial" w:cs="Arial"/>
          <w:b/>
          <w:sz w:val="24"/>
          <w:u w:val="single"/>
        </w:rPr>
        <w:t>who have been assessed to lack mental capacity</w:t>
      </w:r>
      <w:r>
        <w:rPr>
          <w:rFonts w:ascii="Arial" w:hAnsi="Arial" w:eastAsia="Arial" w:cs="Arial"/>
          <w:b/>
          <w:sz w:val="24"/>
        </w:rPr>
        <w:t xml:space="preserve"> - including Children and Young People Services.  </w:t>
      </w:r>
      <w:r w:rsidR="00BB6420">
        <w:rPr>
          <w:rFonts w:ascii="Arial" w:hAnsi="Arial" w:eastAsia="Arial" w:cs="Arial"/>
          <w:b/>
          <w:sz w:val="24"/>
        </w:rPr>
        <w:t>Best interest decisions cannot be made on behalf of someone who is deemed to have capacity.</w:t>
      </w:r>
    </w:p>
    <w:p w:rsidR="00A969D7" w:rsidRDefault="009B2C41" w14:paraId="378792DD" w14:textId="77777777">
      <w:pPr>
        <w:spacing w:after="206" w:line="268" w:lineRule="auto"/>
        <w:ind w:left="-5" w:hanging="10"/>
      </w:pPr>
      <w:r>
        <w:rPr>
          <w:rFonts w:ascii="Arial" w:hAnsi="Arial" w:eastAsia="Arial" w:cs="Arial"/>
          <w:b/>
          <w:sz w:val="24"/>
        </w:rPr>
        <w:t xml:space="preserve">Members of staff are reminded that this guidance is not a substitute for reading the Code of Practice to which a link is included </w:t>
      </w:r>
      <w:proofErr w:type="gramStart"/>
      <w:r>
        <w:rPr>
          <w:rFonts w:ascii="Arial" w:hAnsi="Arial" w:eastAsia="Arial" w:cs="Arial"/>
          <w:b/>
          <w:sz w:val="24"/>
        </w:rPr>
        <w:t>here;</w:t>
      </w:r>
      <w:proofErr w:type="gramEnd"/>
      <w:r>
        <w:rPr>
          <w:rFonts w:ascii="Arial" w:hAnsi="Arial" w:eastAsia="Arial" w:cs="Arial"/>
          <w:b/>
          <w:sz w:val="24"/>
        </w:rPr>
        <w:t xml:space="preserve"> </w:t>
      </w:r>
    </w:p>
    <w:p w:rsidR="00A969D7" w:rsidRDefault="009B2C41" w14:paraId="6719EA25" w14:textId="77777777">
      <w:pPr>
        <w:numPr>
          <w:ilvl w:val="0"/>
          <w:numId w:val="1"/>
        </w:numPr>
        <w:spacing w:after="109" w:line="271" w:lineRule="auto"/>
        <w:ind w:right="-12" w:hanging="360"/>
        <w:jc w:val="both"/>
      </w:pPr>
      <w:r>
        <w:rPr>
          <w:rFonts w:ascii="Arial" w:hAnsi="Arial" w:eastAsia="Arial" w:cs="Arial"/>
          <w:b/>
          <w:color w:val="0000FF"/>
          <w:u w:val="single" w:color="0000FF"/>
        </w:rPr>
        <w:t>http://www.justice.gov.uk/downloads/protecting-the-vulnerable/mca/mca-code-practice-0509.pdf</w:t>
      </w:r>
      <w:r>
        <w:rPr>
          <w:rFonts w:ascii="Arial" w:hAnsi="Arial" w:eastAsia="Arial" w:cs="Arial"/>
          <w:b/>
        </w:rPr>
        <w:t xml:space="preserve"> </w:t>
      </w:r>
    </w:p>
    <w:p w:rsidR="00A969D7" w:rsidRDefault="009B2C41" w14:paraId="683880AE" w14:textId="77777777">
      <w:pPr>
        <w:spacing w:after="166"/>
      </w:pPr>
      <w:r>
        <w:rPr>
          <w:rFonts w:ascii="Arial" w:hAnsi="Arial" w:eastAsia="Arial" w:cs="Arial"/>
          <w:sz w:val="24"/>
        </w:rPr>
        <w:t xml:space="preserve">  </w:t>
      </w:r>
      <w:r>
        <w:rPr>
          <w:rFonts w:ascii="Arial" w:hAnsi="Arial" w:eastAsia="Arial" w:cs="Arial"/>
          <w:sz w:val="4"/>
        </w:rPr>
        <w:t xml:space="preserve">                 </w:t>
      </w:r>
    </w:p>
    <w:p w:rsidR="00A969D7" w:rsidRDefault="009B2C41" w14:paraId="5AAD7AFC" w14:textId="77777777">
      <w:pPr>
        <w:spacing w:after="199" w:line="277" w:lineRule="auto"/>
        <w:ind w:left="-5" w:right="-12" w:hanging="10"/>
        <w:jc w:val="both"/>
      </w:pPr>
      <w:r>
        <w:rPr>
          <w:rFonts w:ascii="Arial" w:hAnsi="Arial" w:eastAsia="Arial" w:cs="Arial"/>
          <w:sz w:val="24"/>
        </w:rPr>
        <w:t xml:space="preserve">The Mental Capacity Act clarifies within the 4th statutory principle; that any decision made, or any act performed on behalf of a person lacking the mental capacity to consent to the arrangements must be undertaken in that person’s “best interests. </w:t>
      </w:r>
    </w:p>
    <w:p w:rsidR="00A969D7" w:rsidRDefault="009B2C41" w14:paraId="4C540557" w14:textId="77777777">
      <w:pPr>
        <w:spacing w:after="199" w:line="277" w:lineRule="auto"/>
        <w:ind w:left="-5" w:right="-12" w:hanging="10"/>
        <w:jc w:val="both"/>
      </w:pPr>
      <w:r>
        <w:rPr>
          <w:rFonts w:ascii="Arial" w:hAnsi="Arial" w:eastAsia="Arial" w:cs="Arial"/>
          <w:sz w:val="24"/>
        </w:rPr>
        <w:t xml:space="preserve">Given the wide range of potential decisions covered by the Act, the term “best interests” is not defined in the legislation. However, the Code of Practice provides in Chapter 5 guidance on how to determine the best interests of a person who has been assessed to lack mental capacity to make the decision themselves. </w:t>
      </w:r>
    </w:p>
    <w:p w:rsidR="00A969D7" w:rsidRDefault="009B2C41" w14:paraId="4E5DB4BE" w14:textId="77777777">
      <w:pPr>
        <w:spacing w:after="199" w:line="277" w:lineRule="auto"/>
        <w:ind w:left="-5" w:right="-12" w:hanging="10"/>
        <w:jc w:val="both"/>
      </w:pPr>
      <w:r>
        <w:rPr>
          <w:rFonts w:ascii="Arial" w:hAnsi="Arial" w:eastAsia="Arial" w:cs="Arial"/>
          <w:sz w:val="24"/>
        </w:rPr>
        <w:t xml:space="preserve">Using the “best </w:t>
      </w:r>
      <w:proofErr w:type="gramStart"/>
      <w:r>
        <w:rPr>
          <w:rFonts w:ascii="Arial" w:hAnsi="Arial" w:eastAsia="Arial" w:cs="Arial"/>
          <w:sz w:val="24"/>
        </w:rPr>
        <w:t>interests</w:t>
      </w:r>
      <w:proofErr w:type="gramEnd"/>
      <w:r>
        <w:rPr>
          <w:rFonts w:ascii="Arial" w:hAnsi="Arial" w:eastAsia="Arial" w:cs="Arial"/>
          <w:sz w:val="24"/>
        </w:rPr>
        <w:t xml:space="preserve"> checklist” as provided in Chapter 5 of The Code; the following factors need to be taken into account in determining the best interests of a person lacking capacity: </w:t>
      </w:r>
    </w:p>
    <w:p w:rsidR="00A969D7" w:rsidRDefault="009B2C41" w14:paraId="7BEBCA91" w14:textId="77777777">
      <w:pPr>
        <w:numPr>
          <w:ilvl w:val="0"/>
          <w:numId w:val="1"/>
        </w:numPr>
        <w:spacing w:after="199" w:line="277" w:lineRule="auto"/>
        <w:ind w:right="-12" w:hanging="360"/>
        <w:jc w:val="both"/>
      </w:pPr>
      <w:r>
        <w:rPr>
          <w:rFonts w:ascii="Arial" w:hAnsi="Arial" w:eastAsia="Arial" w:cs="Arial"/>
          <w:sz w:val="24"/>
        </w:rPr>
        <w:t xml:space="preserve">Do not make assumptions about someone’s best interests merely </w:t>
      </w:r>
      <w:proofErr w:type="gramStart"/>
      <w:r>
        <w:rPr>
          <w:rFonts w:ascii="Arial" w:hAnsi="Arial" w:eastAsia="Arial" w:cs="Arial"/>
          <w:sz w:val="24"/>
        </w:rPr>
        <w:t>on the basis of</w:t>
      </w:r>
      <w:proofErr w:type="gramEnd"/>
      <w:r>
        <w:rPr>
          <w:rFonts w:ascii="Arial" w:hAnsi="Arial" w:eastAsia="Arial" w:cs="Arial"/>
          <w:sz w:val="24"/>
        </w:rPr>
        <w:t xml:space="preserve"> the person’s age or appearance, condition or an aspect of their behaviour. </w:t>
      </w:r>
    </w:p>
    <w:p w:rsidR="00A969D7" w:rsidRDefault="009B2C41" w14:paraId="1FC70BF2" w14:textId="77777777">
      <w:pPr>
        <w:numPr>
          <w:ilvl w:val="0"/>
          <w:numId w:val="1"/>
        </w:numPr>
        <w:spacing w:after="199" w:line="277" w:lineRule="auto"/>
        <w:ind w:right="-12" w:hanging="360"/>
        <w:jc w:val="both"/>
      </w:pPr>
      <w:r>
        <w:rPr>
          <w:rFonts w:ascii="Arial" w:hAnsi="Arial" w:eastAsia="Arial" w:cs="Arial"/>
          <w:sz w:val="24"/>
        </w:rPr>
        <w:t xml:space="preserve">Try to identify the issues and circumstances relating to the decision that are most relevant to the person lacking capacity and throughout make decisions which are as least restrictive and within the person’s best interests. </w:t>
      </w:r>
    </w:p>
    <w:p w:rsidR="00A969D7" w:rsidRDefault="009B2C41" w14:paraId="322212B7" w14:textId="77777777">
      <w:pPr>
        <w:numPr>
          <w:ilvl w:val="0"/>
          <w:numId w:val="1"/>
        </w:numPr>
        <w:spacing w:after="199" w:line="277" w:lineRule="auto"/>
        <w:ind w:right="-12" w:hanging="360"/>
        <w:jc w:val="both"/>
      </w:pPr>
      <w:r>
        <w:rPr>
          <w:rFonts w:ascii="Arial" w:hAnsi="Arial" w:eastAsia="Arial" w:cs="Arial"/>
          <w:sz w:val="24"/>
        </w:rPr>
        <w:t xml:space="preserve">Consider whether the person is likely to regain mental capacity and if </w:t>
      </w:r>
      <w:proofErr w:type="gramStart"/>
      <w:r>
        <w:rPr>
          <w:rFonts w:ascii="Arial" w:hAnsi="Arial" w:eastAsia="Arial" w:cs="Arial"/>
          <w:sz w:val="24"/>
        </w:rPr>
        <w:t>so</w:t>
      </w:r>
      <w:proofErr w:type="gramEnd"/>
      <w:r>
        <w:rPr>
          <w:rFonts w:ascii="Arial" w:hAnsi="Arial" w:eastAsia="Arial" w:cs="Arial"/>
          <w:sz w:val="24"/>
        </w:rPr>
        <w:t xml:space="preserve"> can the decision wait until such time that they can make it themselves? </w:t>
      </w:r>
    </w:p>
    <w:p w:rsidR="00A969D7" w:rsidRDefault="009B2C41" w14:paraId="6034BB1D" w14:textId="77777777">
      <w:pPr>
        <w:numPr>
          <w:ilvl w:val="0"/>
          <w:numId w:val="1"/>
        </w:numPr>
        <w:spacing w:after="199" w:line="277" w:lineRule="auto"/>
        <w:ind w:right="-12" w:hanging="360"/>
        <w:jc w:val="both"/>
      </w:pPr>
      <w:r>
        <w:rPr>
          <w:rFonts w:ascii="Arial" w:hAnsi="Arial" w:eastAsia="Arial" w:cs="Arial"/>
          <w:sz w:val="24"/>
        </w:rPr>
        <w:lastRenderedPageBreak/>
        <w:t xml:space="preserve">Do whatever is possible to enable and encourage the person to participate as fully as possible in making the decision. </w:t>
      </w:r>
    </w:p>
    <w:p w:rsidR="00A969D7" w:rsidRDefault="009B2C41" w14:paraId="61FB300F" w14:textId="77777777">
      <w:pPr>
        <w:numPr>
          <w:ilvl w:val="0"/>
          <w:numId w:val="1"/>
        </w:numPr>
        <w:spacing w:after="199" w:line="277" w:lineRule="auto"/>
        <w:ind w:right="-12" w:hanging="360"/>
        <w:jc w:val="both"/>
      </w:pPr>
      <w:r>
        <w:rPr>
          <w:rFonts w:ascii="Arial" w:hAnsi="Arial" w:eastAsia="Arial" w:cs="Arial"/>
          <w:sz w:val="24"/>
        </w:rPr>
        <w:t xml:space="preserve">Try to find out the views of the person by reference to their past and present wishes and feelings, particularly any relevant written statements made when the person had capacity. Consideration should also be given to any beliefs and values (faith based, cultural or moral) that would be likely to influence the decision. </w:t>
      </w:r>
    </w:p>
    <w:p w:rsidR="00A969D7" w:rsidRDefault="009B2C41" w14:paraId="7C6F9832" w14:textId="77777777">
      <w:pPr>
        <w:numPr>
          <w:ilvl w:val="0"/>
          <w:numId w:val="1"/>
        </w:numPr>
        <w:spacing w:after="199" w:line="277" w:lineRule="auto"/>
        <w:ind w:right="-12" w:hanging="360"/>
        <w:jc w:val="both"/>
      </w:pPr>
      <w:r>
        <w:rPr>
          <w:rFonts w:ascii="Arial" w:hAnsi="Arial" w:eastAsia="Arial" w:cs="Arial"/>
          <w:sz w:val="24"/>
        </w:rPr>
        <w:t xml:space="preserve">Consult other people where it is practicable and appropriate in the light of the person’s right to confidentiality. </w:t>
      </w:r>
      <w:proofErr w:type="gramStart"/>
      <w:r>
        <w:rPr>
          <w:rFonts w:ascii="Arial" w:hAnsi="Arial" w:eastAsia="Arial" w:cs="Arial"/>
          <w:sz w:val="24"/>
        </w:rPr>
        <w:t>In particular try</w:t>
      </w:r>
      <w:proofErr w:type="gramEnd"/>
      <w:r>
        <w:rPr>
          <w:rFonts w:ascii="Arial" w:hAnsi="Arial" w:eastAsia="Arial" w:cs="Arial"/>
          <w:sz w:val="24"/>
        </w:rPr>
        <w:t xml:space="preserve"> to consult with anyone previously named by the person as someone to be consulted. In </w:t>
      </w:r>
      <w:proofErr w:type="gramStart"/>
      <w:r>
        <w:rPr>
          <w:rFonts w:ascii="Arial" w:hAnsi="Arial" w:eastAsia="Arial" w:cs="Arial"/>
          <w:sz w:val="24"/>
        </w:rPr>
        <w:t>addition</w:t>
      </w:r>
      <w:proofErr w:type="gramEnd"/>
      <w:r>
        <w:rPr>
          <w:rFonts w:ascii="Arial" w:hAnsi="Arial" w:eastAsia="Arial" w:cs="Arial"/>
          <w:sz w:val="24"/>
        </w:rPr>
        <w:t xml:space="preserve"> unpaid carers, close relatives and friends who take an interest in the person’s welfare including anyone holding Enduring or Lasting Power of Attorney or any Deputy appointed by the Court of Protection should be consulted. </w:t>
      </w:r>
    </w:p>
    <w:p w:rsidR="00A969D7" w:rsidRDefault="009B2C41" w14:paraId="602EB3D1" w14:textId="77777777">
      <w:pPr>
        <w:spacing w:after="206" w:line="268" w:lineRule="auto"/>
        <w:ind w:left="-5" w:hanging="10"/>
      </w:pPr>
      <w:r>
        <w:rPr>
          <w:rFonts w:ascii="Arial" w:hAnsi="Arial" w:eastAsia="Arial" w:cs="Arial"/>
          <w:b/>
          <w:sz w:val="24"/>
        </w:rPr>
        <w:t xml:space="preserve">Determining what is in a person’s best </w:t>
      </w:r>
      <w:proofErr w:type="gramStart"/>
      <w:r>
        <w:rPr>
          <w:rFonts w:ascii="Arial" w:hAnsi="Arial" w:eastAsia="Arial" w:cs="Arial"/>
          <w:b/>
          <w:sz w:val="24"/>
        </w:rPr>
        <w:t>interests</w:t>
      </w:r>
      <w:proofErr w:type="gramEnd"/>
      <w:r>
        <w:rPr>
          <w:rFonts w:ascii="Arial" w:hAnsi="Arial" w:eastAsia="Arial" w:cs="Arial"/>
          <w:b/>
          <w:sz w:val="24"/>
        </w:rPr>
        <w:t xml:space="preserve"> </w:t>
      </w:r>
    </w:p>
    <w:p w:rsidR="00A969D7" w:rsidRDefault="009B2C41" w14:paraId="7AB54A4A" w14:textId="77777777">
      <w:pPr>
        <w:spacing w:after="199" w:line="277" w:lineRule="auto"/>
        <w:ind w:left="-5" w:right="-12" w:hanging="10"/>
        <w:jc w:val="both"/>
      </w:pPr>
      <w:r>
        <w:rPr>
          <w:rFonts w:ascii="Arial" w:hAnsi="Arial" w:eastAsia="Arial" w:cs="Arial"/>
          <w:sz w:val="24"/>
        </w:rPr>
        <w:t xml:space="preserve">Section 1(5) of the Act confirms that the best interest principle applies to any decision made, on behalf of someone where there is reasonable belief that the person lacks capacity under the Act. This includes informal day-to-day decisions and actions as well as decisions that are made by the courts. It is therefore important that members of staff record why they think a specific decision is in the person’s best interests. This is particularly important if the decision that is made is contrary to the views of somebody who has been consulted while working out the person’s best interests. </w:t>
      </w:r>
    </w:p>
    <w:p w:rsidR="00A969D7" w:rsidRDefault="009B2C41" w14:paraId="17EFF245" w14:textId="77777777">
      <w:pPr>
        <w:spacing w:after="199" w:line="277" w:lineRule="auto"/>
        <w:ind w:left="-5" w:right="-12" w:hanging="10"/>
        <w:jc w:val="both"/>
      </w:pPr>
      <w:r>
        <w:rPr>
          <w:rFonts w:ascii="Arial" w:hAnsi="Arial" w:eastAsia="Arial" w:cs="Arial"/>
          <w:sz w:val="24"/>
        </w:rPr>
        <w:t xml:space="preserve">In many situations the best </w:t>
      </w:r>
      <w:proofErr w:type="gramStart"/>
      <w:r>
        <w:rPr>
          <w:rFonts w:ascii="Arial" w:hAnsi="Arial" w:eastAsia="Arial" w:cs="Arial"/>
          <w:sz w:val="24"/>
        </w:rPr>
        <w:t>interests</w:t>
      </w:r>
      <w:proofErr w:type="gramEnd"/>
      <w:r>
        <w:rPr>
          <w:rFonts w:ascii="Arial" w:hAnsi="Arial" w:eastAsia="Arial" w:cs="Arial"/>
          <w:sz w:val="24"/>
        </w:rPr>
        <w:t xml:space="preserve"> decision will be able to be made reasonably informally. </w:t>
      </w:r>
      <w:proofErr w:type="gramStart"/>
      <w:r>
        <w:rPr>
          <w:rFonts w:ascii="Arial" w:hAnsi="Arial" w:eastAsia="Arial" w:cs="Arial"/>
          <w:sz w:val="24"/>
        </w:rPr>
        <w:t>However;</w:t>
      </w:r>
      <w:proofErr w:type="gramEnd"/>
      <w:r>
        <w:rPr>
          <w:rFonts w:ascii="Arial" w:hAnsi="Arial" w:eastAsia="Arial" w:cs="Arial"/>
          <w:sz w:val="24"/>
        </w:rPr>
        <w:t xml:space="preserve"> where the risks are great, the decision that is required to be made is complex, there are many people involved or where significant disagreement is anticipated, then it may be more appropriate for the decision to be made within the framework of a best interests meeting.   </w:t>
      </w:r>
    </w:p>
    <w:p w:rsidR="00A969D7" w:rsidRDefault="009B2C41" w14:paraId="6B2DFE6E" w14:textId="77777777">
      <w:pPr>
        <w:spacing w:after="0" w:line="277" w:lineRule="auto"/>
        <w:ind w:left="-5" w:right="-12" w:hanging="10"/>
        <w:jc w:val="both"/>
      </w:pPr>
      <w:r>
        <w:rPr>
          <w:rFonts w:ascii="Arial" w:hAnsi="Arial" w:eastAsia="Arial" w:cs="Arial"/>
          <w:sz w:val="24"/>
        </w:rPr>
        <w:t xml:space="preserve">Within more complex situations the adoption of a “balance sheet” approach for recording the context of best </w:t>
      </w:r>
      <w:proofErr w:type="gramStart"/>
      <w:r>
        <w:rPr>
          <w:rFonts w:ascii="Arial" w:hAnsi="Arial" w:eastAsia="Arial" w:cs="Arial"/>
          <w:sz w:val="24"/>
        </w:rPr>
        <w:t>interests</w:t>
      </w:r>
      <w:proofErr w:type="gramEnd"/>
      <w:r>
        <w:rPr>
          <w:rFonts w:ascii="Arial" w:hAnsi="Arial" w:eastAsia="Arial" w:cs="Arial"/>
          <w:sz w:val="24"/>
        </w:rPr>
        <w:t xml:space="preserve"> decisions is highly recommended as it provides a coherent format for considering the available options within a framework which is both robust and transparent. </w:t>
      </w:r>
    </w:p>
    <w:p w:rsidR="00A969D7" w:rsidRDefault="009B2C41" w14:paraId="5E86B918" w14:textId="77777777">
      <w:pPr>
        <w:spacing w:after="409"/>
      </w:pPr>
      <w:r>
        <w:rPr>
          <w:rFonts w:ascii="Arial" w:hAnsi="Arial" w:eastAsia="Arial" w:cs="Arial"/>
          <w:sz w:val="2"/>
        </w:rPr>
        <w:t xml:space="preserve">             </w:t>
      </w:r>
      <w:r>
        <w:rPr>
          <w:rFonts w:ascii="Arial" w:hAnsi="Arial" w:eastAsia="Arial" w:cs="Arial"/>
          <w:b/>
          <w:sz w:val="2"/>
        </w:rPr>
        <w:t xml:space="preserve"> </w:t>
      </w:r>
    </w:p>
    <w:p w:rsidR="00A969D7" w:rsidRDefault="009B2C41" w14:paraId="7177C6BA" w14:textId="77777777">
      <w:pPr>
        <w:spacing w:after="206" w:line="268" w:lineRule="auto"/>
        <w:ind w:left="-5" w:hanging="10"/>
      </w:pPr>
      <w:r>
        <w:rPr>
          <w:rFonts w:ascii="Arial" w:hAnsi="Arial" w:eastAsia="Arial" w:cs="Arial"/>
          <w:b/>
          <w:sz w:val="24"/>
        </w:rPr>
        <w:t xml:space="preserve">The Balance Sheet approach to making best interests decisions.  </w:t>
      </w:r>
    </w:p>
    <w:p w:rsidR="00A969D7" w:rsidRDefault="009B2C41" w14:paraId="1B0FB4D3" w14:textId="77777777">
      <w:pPr>
        <w:spacing w:after="199" w:line="277" w:lineRule="auto"/>
        <w:ind w:left="-5" w:right="-12" w:hanging="10"/>
        <w:jc w:val="both"/>
      </w:pPr>
      <w:r>
        <w:rPr>
          <w:rFonts w:ascii="Arial" w:hAnsi="Arial" w:eastAsia="Arial" w:cs="Arial"/>
          <w:sz w:val="24"/>
        </w:rPr>
        <w:t xml:space="preserve">The Balance Sheet approach enables the wishes or preferences of the person, and the views of family and carers to be considered and to decide what is, on balance, considered to be the decision that the incapacitated person would themselves have chosen from the available options. Where reaching a decision, regard must be had to any restriction that exists and the less restrictive option must always be considered. </w:t>
      </w:r>
    </w:p>
    <w:p w:rsidR="00A969D7" w:rsidRDefault="009B2C41" w14:paraId="4498C1D1" w14:textId="77777777">
      <w:pPr>
        <w:spacing w:after="199" w:line="277" w:lineRule="auto"/>
        <w:ind w:left="-5" w:right="-12" w:hanging="10"/>
        <w:jc w:val="both"/>
      </w:pPr>
      <w:r>
        <w:rPr>
          <w:rFonts w:ascii="Arial" w:hAnsi="Arial" w:eastAsia="Arial" w:cs="Arial"/>
          <w:sz w:val="24"/>
        </w:rPr>
        <w:lastRenderedPageBreak/>
        <w:t xml:space="preserve">This process is the approach that is considered and adopted by the judiciary when making decisions in the Courts and was first described in </w:t>
      </w:r>
      <w:proofErr w:type="gramStart"/>
      <w:r>
        <w:rPr>
          <w:rFonts w:ascii="Arial" w:hAnsi="Arial" w:eastAsia="Arial" w:cs="Arial"/>
          <w:sz w:val="24"/>
        </w:rPr>
        <w:t>details</w:t>
      </w:r>
      <w:proofErr w:type="gramEnd"/>
      <w:r>
        <w:rPr>
          <w:rFonts w:ascii="Arial" w:hAnsi="Arial" w:eastAsia="Arial" w:cs="Arial"/>
          <w:sz w:val="24"/>
        </w:rPr>
        <w:t xml:space="preserve"> by Lord Justice Thorpe in the early inherent jurisdiction case of Re A [2000]. The following extract describes the approach: </w:t>
      </w:r>
    </w:p>
    <w:p w:rsidR="00A969D7" w:rsidRDefault="009B2C41" w14:paraId="33504D7D" w14:textId="77777777">
      <w:pPr>
        <w:spacing w:after="200" w:line="276" w:lineRule="auto"/>
        <w:ind w:left="175" w:right="338" w:hanging="10"/>
        <w:jc w:val="both"/>
      </w:pPr>
      <w:r>
        <w:rPr>
          <w:rFonts w:ascii="Arial" w:hAnsi="Arial" w:eastAsia="Arial" w:cs="Arial"/>
          <w:b/>
          <w:i/>
          <w:sz w:val="24"/>
        </w:rPr>
        <w:t xml:space="preserve">“The benefits of the procedure should be entered, and then the disbenefits should be entered. The possible gains and losses should be considered, and the likelihood of them occurring. At the end of this </w:t>
      </w:r>
      <w:proofErr w:type="gramStart"/>
      <w:r>
        <w:rPr>
          <w:rFonts w:ascii="Arial" w:hAnsi="Arial" w:eastAsia="Arial" w:cs="Arial"/>
          <w:b/>
          <w:i/>
          <w:sz w:val="24"/>
        </w:rPr>
        <w:t>process</w:t>
      </w:r>
      <w:proofErr w:type="gramEnd"/>
      <w:r>
        <w:rPr>
          <w:rFonts w:ascii="Arial" w:hAnsi="Arial" w:eastAsia="Arial" w:cs="Arial"/>
          <w:b/>
          <w:i/>
          <w:sz w:val="24"/>
        </w:rPr>
        <w:t xml:space="preserve"> it should be possible to ‘strike a balance between the sum of the certain and possible gains against the sum of the certain and possible losses. Only if the account is in relatively significant credit will the judge conclude that the application is likely to advance the best interests of the claimant.’  </w:t>
      </w:r>
    </w:p>
    <w:p w:rsidR="00A969D7" w:rsidRDefault="009B2C41" w14:paraId="2AB970BB" w14:textId="77777777">
      <w:pPr>
        <w:spacing w:after="200" w:line="276" w:lineRule="auto"/>
        <w:ind w:left="175" w:right="338" w:hanging="10"/>
        <w:jc w:val="both"/>
      </w:pPr>
      <w:r>
        <w:rPr>
          <w:rFonts w:ascii="Arial" w:hAnsi="Arial" w:eastAsia="Arial" w:cs="Arial"/>
          <w:b/>
          <w:i/>
          <w:sz w:val="24"/>
        </w:rPr>
        <w:t xml:space="preserve">This makes clear that best </w:t>
      </w:r>
      <w:proofErr w:type="gramStart"/>
      <w:r>
        <w:rPr>
          <w:rFonts w:ascii="Arial" w:hAnsi="Arial" w:eastAsia="Arial" w:cs="Arial"/>
          <w:b/>
          <w:i/>
          <w:sz w:val="24"/>
        </w:rPr>
        <w:t>interests</w:t>
      </w:r>
      <w:proofErr w:type="gramEnd"/>
      <w:r>
        <w:rPr>
          <w:rFonts w:ascii="Arial" w:hAnsi="Arial" w:eastAsia="Arial" w:cs="Arial"/>
          <w:b/>
          <w:i/>
          <w:sz w:val="24"/>
        </w:rPr>
        <w:t xml:space="preserve"> decisions must be on the basis of weighing up the possible benefits against the possible disadvantages. Medical, emotional, social and welfare benefits and disadvantages should be </w:t>
      </w:r>
      <w:proofErr w:type="gramStart"/>
      <w:r>
        <w:rPr>
          <w:rFonts w:ascii="Arial" w:hAnsi="Arial" w:eastAsia="Arial" w:cs="Arial"/>
          <w:b/>
          <w:i/>
          <w:sz w:val="24"/>
        </w:rPr>
        <w:t>considered</w:t>
      </w:r>
      <w:proofErr w:type="gramEnd"/>
      <w:r>
        <w:rPr>
          <w:rFonts w:ascii="Arial" w:hAnsi="Arial" w:eastAsia="Arial" w:cs="Arial"/>
          <w:b/>
          <w:i/>
          <w:sz w:val="24"/>
        </w:rPr>
        <w:t xml:space="preserve"> and it is only if the benefits outweigh the disadvantages that the proposed action should be taken.” </w:t>
      </w:r>
    </w:p>
    <w:p w:rsidR="00A969D7" w:rsidRDefault="009B2C41" w14:paraId="272671E1" w14:textId="77777777">
      <w:pPr>
        <w:spacing w:after="122" w:line="277" w:lineRule="auto"/>
        <w:ind w:left="-5" w:right="-12" w:hanging="10"/>
        <w:jc w:val="both"/>
      </w:pPr>
      <w:r>
        <w:rPr>
          <w:rFonts w:ascii="Arial" w:hAnsi="Arial" w:eastAsia="Arial" w:cs="Arial"/>
          <w:sz w:val="24"/>
        </w:rPr>
        <w:t xml:space="preserve">Following this judgment and post implementation of the Act, the courts frequently refer to adopting such an approach to decision-making. Locally members of staff are recommended to adopt this approach when setting out their reasoning when making best </w:t>
      </w:r>
      <w:proofErr w:type="gramStart"/>
      <w:r>
        <w:rPr>
          <w:rFonts w:ascii="Arial" w:hAnsi="Arial" w:eastAsia="Arial" w:cs="Arial"/>
          <w:sz w:val="24"/>
        </w:rPr>
        <w:t>interests</w:t>
      </w:r>
      <w:proofErr w:type="gramEnd"/>
      <w:r>
        <w:rPr>
          <w:rFonts w:ascii="Arial" w:hAnsi="Arial" w:eastAsia="Arial" w:cs="Arial"/>
          <w:sz w:val="24"/>
        </w:rPr>
        <w:t xml:space="preserve"> decisions, to demonstrate they have incorporated the “best interests checklist” as identified in Chapter 5 of the MCA Code. </w:t>
      </w:r>
    </w:p>
    <w:p w:rsidR="00A969D7" w:rsidRDefault="009B2C41" w14:paraId="08EB8435" w14:textId="77777777">
      <w:pPr>
        <w:spacing w:after="329"/>
      </w:pPr>
      <w:r>
        <w:rPr>
          <w:rFonts w:ascii="Arial" w:hAnsi="Arial" w:eastAsia="Arial" w:cs="Arial"/>
          <w:sz w:val="16"/>
        </w:rPr>
        <w:t xml:space="preserve"> </w:t>
      </w:r>
    </w:p>
    <w:p w:rsidR="00A969D7" w:rsidRDefault="009B2C41" w14:paraId="4E3B92F6" w14:textId="77777777">
      <w:pPr>
        <w:spacing w:after="176" w:line="268" w:lineRule="auto"/>
        <w:ind w:left="-5" w:hanging="10"/>
        <w:jc w:val="both"/>
      </w:pPr>
      <w:r>
        <w:rPr>
          <w:rFonts w:ascii="Arial" w:hAnsi="Arial" w:eastAsia="Arial" w:cs="Arial"/>
          <w:b/>
          <w:sz w:val="28"/>
        </w:rPr>
        <w:t xml:space="preserve">Included below is an actual example from local practice of a completed Balance Sheet, demonstrating the type of options which may need to be considered when determining what may be in a person’s best interests. </w:t>
      </w:r>
    </w:p>
    <w:p w:rsidR="00A969D7" w:rsidRDefault="009B2C41" w14:paraId="5E81B990" w14:textId="77777777">
      <w:pPr>
        <w:spacing w:after="224"/>
        <w:ind w:left="60"/>
        <w:jc w:val="center"/>
      </w:pPr>
      <w:r>
        <w:rPr>
          <w:b/>
          <w:sz w:val="28"/>
        </w:rPr>
        <w:t xml:space="preserve"> </w:t>
      </w:r>
    </w:p>
    <w:p w:rsidR="00A969D7" w:rsidRDefault="009B2C41" w14:paraId="31B8AD1E" w14:textId="77777777">
      <w:pPr>
        <w:pStyle w:val="Heading1"/>
      </w:pPr>
      <w:r>
        <w:t xml:space="preserve">BALANCE SHEET FOR THE BEST INTERESTS MEETING TO BE HELD IN RESPECT </w:t>
      </w:r>
      <w:proofErr w:type="gramStart"/>
      <w:r>
        <w:t>OF;</w:t>
      </w:r>
      <w:proofErr w:type="gramEnd"/>
      <w:r>
        <w:rPr>
          <w:u w:val="none"/>
        </w:rPr>
        <w:t xml:space="preserve"> </w:t>
      </w:r>
    </w:p>
    <w:p w:rsidR="00A969D7" w:rsidRDefault="009B2C41" w14:paraId="14D62FA4" w14:textId="77777777">
      <w:pPr>
        <w:spacing w:after="506"/>
      </w:pPr>
      <w:r>
        <w:rPr>
          <w:b/>
          <w:sz w:val="2"/>
        </w:rPr>
        <w:t xml:space="preserve">              </w:t>
      </w:r>
    </w:p>
    <w:p w:rsidR="00A969D7" w:rsidRDefault="00B765BE" w14:paraId="77EE74F3" w14:textId="7F22C45A">
      <w:pPr>
        <w:numPr>
          <w:ilvl w:val="0"/>
          <w:numId w:val="2"/>
        </w:numPr>
        <w:spacing w:after="193"/>
        <w:ind w:hanging="180"/>
      </w:pPr>
      <w:r>
        <w:rPr>
          <w:b/>
          <w:sz w:val="28"/>
          <w:u w:val="single" w:color="000000"/>
        </w:rPr>
        <w:t>The person’s</w:t>
      </w:r>
      <w:r w:rsidR="009B2C41">
        <w:rPr>
          <w:b/>
          <w:sz w:val="28"/>
          <w:u w:val="single" w:color="000000"/>
        </w:rPr>
        <w:t xml:space="preserve"> name (refer</w:t>
      </w:r>
      <w:r>
        <w:rPr>
          <w:b/>
          <w:sz w:val="28"/>
          <w:u w:val="single" w:color="000000"/>
        </w:rPr>
        <w:t>r</w:t>
      </w:r>
      <w:r w:rsidR="009B2C41">
        <w:rPr>
          <w:b/>
          <w:sz w:val="28"/>
          <w:u w:val="single" w:color="000000"/>
        </w:rPr>
        <w:t>ed to within this guidance as John Smith)</w:t>
      </w:r>
      <w:r w:rsidR="009B2C41">
        <w:rPr>
          <w:b/>
          <w:sz w:val="28"/>
        </w:rPr>
        <w:t xml:space="preserve"> </w:t>
      </w:r>
    </w:p>
    <w:p w:rsidR="00A969D7" w:rsidRDefault="009B2C41" w14:paraId="12098E55" w14:textId="77777777">
      <w:pPr>
        <w:spacing w:after="282"/>
        <w:ind w:left="1615" w:hanging="10"/>
      </w:pPr>
      <w:r>
        <w:rPr>
          <w:b/>
          <w:sz w:val="28"/>
        </w:rPr>
        <w:t xml:space="preserve">             on  </w:t>
      </w:r>
    </w:p>
    <w:p w:rsidR="00A969D7" w:rsidRDefault="009B2C41" w14:paraId="13A616B1" w14:textId="77777777">
      <w:pPr>
        <w:numPr>
          <w:ilvl w:val="0"/>
          <w:numId w:val="2"/>
        </w:numPr>
        <w:spacing w:after="193"/>
        <w:ind w:hanging="180"/>
      </w:pPr>
      <w:r>
        <w:rPr>
          <w:b/>
          <w:sz w:val="28"/>
          <w:u w:val="single" w:color="000000"/>
        </w:rPr>
        <w:t>Date of the best interests Meeting</w:t>
      </w:r>
      <w:r>
        <w:rPr>
          <w:b/>
          <w:sz w:val="28"/>
        </w:rPr>
        <w:t xml:space="preserve"> </w:t>
      </w:r>
    </w:p>
    <w:p w:rsidR="00A969D7" w:rsidRDefault="009B2C41" w14:paraId="65C14689" w14:textId="77777777">
      <w:pPr>
        <w:spacing w:after="282"/>
        <w:ind w:left="1615" w:hanging="10"/>
      </w:pPr>
      <w:r>
        <w:rPr>
          <w:b/>
          <w:sz w:val="28"/>
        </w:rPr>
        <w:t xml:space="preserve">             at </w:t>
      </w:r>
    </w:p>
    <w:p w:rsidR="00A969D7" w:rsidRDefault="009B2C41" w14:paraId="42BBE57D" w14:textId="77777777">
      <w:pPr>
        <w:numPr>
          <w:ilvl w:val="0"/>
          <w:numId w:val="2"/>
        </w:numPr>
        <w:spacing w:after="269"/>
        <w:ind w:hanging="180"/>
      </w:pPr>
      <w:r>
        <w:rPr>
          <w:b/>
          <w:sz w:val="28"/>
          <w:u w:val="single" w:color="000000"/>
        </w:rPr>
        <w:lastRenderedPageBreak/>
        <w:t>Location of the Best Interests Meeting</w:t>
      </w:r>
      <w:r>
        <w:rPr>
          <w:b/>
          <w:sz w:val="28"/>
        </w:rPr>
        <w:t xml:space="preserve"> </w:t>
      </w:r>
    </w:p>
    <w:p w:rsidR="00A969D7" w:rsidRDefault="009B2C41" w14:paraId="3D5FBF95" w14:textId="77777777">
      <w:pPr>
        <w:spacing w:after="154"/>
        <w:ind w:left="79"/>
        <w:jc w:val="center"/>
      </w:pPr>
      <w:r>
        <w:rPr>
          <w:b/>
          <w:sz w:val="36"/>
        </w:rPr>
        <w:t xml:space="preserve"> </w:t>
      </w:r>
    </w:p>
    <w:p w:rsidR="00BB6420" w:rsidRDefault="00BB6420" w14:paraId="457FC4F4" w14:textId="77777777">
      <w:pPr>
        <w:pStyle w:val="Heading1"/>
        <w:ind w:right="2"/>
      </w:pPr>
    </w:p>
    <w:p w:rsidR="00A969D7" w:rsidRDefault="009B2C41" w14:paraId="1D45826F" w14:textId="32280CCC">
      <w:pPr>
        <w:pStyle w:val="Heading1"/>
        <w:ind w:right="2"/>
      </w:pPr>
      <w:r>
        <w:t>BACKGROUND</w:t>
      </w:r>
      <w:r>
        <w:rPr>
          <w:u w:val="none"/>
        </w:rPr>
        <w:t xml:space="preserve"> </w:t>
      </w:r>
    </w:p>
    <w:p w:rsidR="00A969D7" w:rsidRDefault="009B2C41" w14:paraId="0EA9A4DC" w14:textId="77777777">
      <w:pPr>
        <w:spacing w:after="431"/>
      </w:pPr>
      <w:r>
        <w:rPr>
          <w:sz w:val="4"/>
        </w:rPr>
        <w:t xml:space="preserve"> </w:t>
      </w:r>
    </w:p>
    <w:p w:rsidR="00A969D7" w:rsidRDefault="009B2C41" w14:paraId="1D2638CE" w14:textId="77777777">
      <w:pPr>
        <w:spacing w:after="270" w:line="268" w:lineRule="auto"/>
        <w:ind w:left="-5" w:hanging="10"/>
        <w:jc w:val="both"/>
      </w:pPr>
      <w:r>
        <w:rPr>
          <w:sz w:val="28"/>
        </w:rPr>
        <w:t xml:space="preserve">Summary of the details leading up to </w:t>
      </w:r>
      <w:proofErr w:type="gramStart"/>
      <w:r>
        <w:rPr>
          <w:sz w:val="28"/>
        </w:rPr>
        <w:t>this best interests</w:t>
      </w:r>
      <w:proofErr w:type="gramEnd"/>
      <w:r>
        <w:rPr>
          <w:sz w:val="28"/>
        </w:rPr>
        <w:t xml:space="preserve"> meeting including; </w:t>
      </w:r>
    </w:p>
    <w:p w:rsidR="00A969D7" w:rsidRDefault="009B2C41" w14:paraId="5E5E091B" w14:textId="77777777">
      <w:pPr>
        <w:numPr>
          <w:ilvl w:val="0"/>
          <w:numId w:val="3"/>
        </w:numPr>
        <w:spacing w:after="241" w:line="268" w:lineRule="auto"/>
        <w:ind w:hanging="360"/>
        <w:jc w:val="both"/>
      </w:pPr>
      <w:r>
        <w:rPr>
          <w:sz w:val="28"/>
        </w:rPr>
        <w:t xml:space="preserve">Details of the care provision </w:t>
      </w:r>
    </w:p>
    <w:p w:rsidR="00A969D7" w:rsidRDefault="009B2C41" w14:paraId="58903B95" w14:textId="77777777">
      <w:pPr>
        <w:numPr>
          <w:ilvl w:val="0"/>
          <w:numId w:val="3"/>
        </w:numPr>
        <w:spacing w:after="270" w:line="268" w:lineRule="auto"/>
        <w:ind w:hanging="360"/>
        <w:jc w:val="both"/>
      </w:pPr>
      <w:r>
        <w:rPr>
          <w:sz w:val="28"/>
        </w:rPr>
        <w:t xml:space="preserve">Clarification of the mental capacity assessment including, when and whom this was undertaken by, the specific nature of the question that the assessment was intending to determine and the outcome of that assessment. </w:t>
      </w:r>
    </w:p>
    <w:p w:rsidR="00A969D7" w:rsidRDefault="009B2C41" w14:paraId="304A96C0" w14:textId="77777777">
      <w:pPr>
        <w:numPr>
          <w:ilvl w:val="0"/>
          <w:numId w:val="3"/>
        </w:numPr>
        <w:spacing w:after="270" w:line="268" w:lineRule="auto"/>
        <w:ind w:hanging="360"/>
        <w:jc w:val="both"/>
      </w:pPr>
      <w:r>
        <w:rPr>
          <w:sz w:val="28"/>
        </w:rPr>
        <w:t xml:space="preserve">The risks and concerns that exist within the current </w:t>
      </w:r>
      <w:proofErr w:type="gramStart"/>
      <w:r>
        <w:rPr>
          <w:sz w:val="28"/>
        </w:rPr>
        <w:t>arrangements</w:t>
      </w:r>
      <w:proofErr w:type="gramEnd"/>
      <w:r>
        <w:rPr>
          <w:sz w:val="28"/>
        </w:rPr>
        <w:t xml:space="preserve"> </w:t>
      </w:r>
    </w:p>
    <w:p w:rsidR="00A969D7" w:rsidRDefault="009B2C41" w14:paraId="38861280" w14:textId="77777777">
      <w:pPr>
        <w:spacing w:after="155"/>
      </w:pPr>
      <w:r>
        <w:rPr>
          <w:sz w:val="36"/>
        </w:rPr>
        <w:t xml:space="preserve"> </w:t>
      </w:r>
    </w:p>
    <w:p w:rsidR="00A969D7" w:rsidRDefault="009B2C41" w14:paraId="0A808EAC" w14:textId="77777777">
      <w:pPr>
        <w:pStyle w:val="Heading1"/>
        <w:ind w:right="3"/>
      </w:pPr>
      <w:r>
        <w:t>John Smith’s wishes and feelings</w:t>
      </w:r>
      <w:r>
        <w:rPr>
          <w:u w:val="none"/>
        </w:rPr>
        <w:t xml:space="preserve"> </w:t>
      </w:r>
    </w:p>
    <w:p w:rsidR="00A969D7" w:rsidRDefault="009B2C41" w14:paraId="00EE0B9E" w14:textId="77777777">
      <w:pPr>
        <w:spacing w:after="120"/>
        <w:ind w:left="133"/>
        <w:jc w:val="center"/>
      </w:pPr>
      <w:r>
        <w:rPr>
          <w:b/>
          <w:sz w:val="28"/>
        </w:rPr>
        <w:t xml:space="preserve">  </w:t>
      </w:r>
      <w:r>
        <w:rPr>
          <w:b/>
          <w:sz w:val="4"/>
        </w:rPr>
        <w:t xml:space="preserve"> </w:t>
      </w:r>
    </w:p>
    <w:p w:rsidR="00A969D7" w:rsidRDefault="009B2C41" w14:paraId="4740698A" w14:textId="77777777">
      <w:pPr>
        <w:spacing w:after="270" w:line="268" w:lineRule="auto"/>
        <w:ind w:left="-5" w:hanging="10"/>
        <w:jc w:val="both"/>
      </w:pPr>
      <w:r>
        <w:rPr>
          <w:sz w:val="28"/>
        </w:rPr>
        <w:t xml:space="preserve">Include a summary of the person’s wishes and feelings that have been able to be identified by those involved in the situation relating to the specific decision being considered. </w:t>
      </w:r>
    </w:p>
    <w:p w:rsidR="00A969D7" w:rsidRDefault="009B2C41" w14:paraId="0D1DB55E" w14:textId="77777777">
      <w:pPr>
        <w:spacing w:after="154"/>
      </w:pPr>
      <w:r>
        <w:rPr>
          <w:sz w:val="36"/>
        </w:rPr>
        <w:t xml:space="preserve"> </w:t>
      </w:r>
    </w:p>
    <w:p w:rsidR="00A969D7" w:rsidRDefault="009B2C41" w14:paraId="47C39B1C" w14:textId="77777777">
      <w:pPr>
        <w:pStyle w:val="Heading1"/>
        <w:spacing w:after="225"/>
      </w:pPr>
      <w:r>
        <w:t>Points for Consideration</w:t>
      </w:r>
      <w:r>
        <w:rPr>
          <w:u w:val="none"/>
        </w:rPr>
        <w:t xml:space="preserve"> </w:t>
      </w:r>
    </w:p>
    <w:p w:rsidR="00A969D7" w:rsidRDefault="009B2C41" w14:paraId="36225159" w14:textId="77777777">
      <w:pPr>
        <w:spacing w:after="210" w:line="268" w:lineRule="auto"/>
        <w:ind w:left="-5" w:hanging="10"/>
        <w:jc w:val="both"/>
      </w:pPr>
      <w:r>
        <w:rPr>
          <w:sz w:val="28"/>
        </w:rPr>
        <w:t xml:space="preserve">Include any additional points which need to be considered that may have a bearing on the decision to be reached; for </w:t>
      </w:r>
      <w:proofErr w:type="gramStart"/>
      <w:r>
        <w:rPr>
          <w:sz w:val="28"/>
        </w:rPr>
        <w:t>example</w:t>
      </w:r>
      <w:proofErr w:type="gramEnd"/>
      <w:r>
        <w:rPr>
          <w:sz w:val="28"/>
        </w:rPr>
        <w:t xml:space="preserve"> this may include the availability of specific resources, the location and involvement of family members, safeguarding concerns etc. </w:t>
      </w:r>
    </w:p>
    <w:p w:rsidR="00A969D7" w:rsidRDefault="00A969D7" w14:paraId="18C0DD56" w14:textId="5F1AC26A">
      <w:pPr>
        <w:spacing w:after="0"/>
      </w:pPr>
    </w:p>
    <w:p w:rsidRPr="00B765BE" w:rsidR="00A969D7" w:rsidRDefault="00B765BE" w14:paraId="39F7F081" w14:textId="0A6AF8B6">
      <w:pPr>
        <w:spacing w:after="470"/>
        <w:rPr>
          <w:bCs/>
          <w:sz w:val="28"/>
          <w:szCs w:val="28"/>
        </w:rPr>
      </w:pPr>
      <w:r w:rsidRPr="00B765BE">
        <w:rPr>
          <w:bCs/>
          <w:sz w:val="28"/>
          <w:szCs w:val="28"/>
        </w:rPr>
        <w:t>The purpose of the balance sheet approach is to consider and weigh up the pros and cons for the decision to be made</w:t>
      </w:r>
      <w:r>
        <w:rPr>
          <w:bCs/>
          <w:sz w:val="28"/>
          <w:szCs w:val="28"/>
        </w:rPr>
        <w:t>,</w:t>
      </w:r>
      <w:r w:rsidRPr="00B765BE">
        <w:rPr>
          <w:bCs/>
          <w:sz w:val="28"/>
          <w:szCs w:val="28"/>
        </w:rPr>
        <w:t xml:space="preserve"> including</w:t>
      </w:r>
      <w:r>
        <w:rPr>
          <w:bCs/>
          <w:sz w:val="28"/>
          <w:szCs w:val="28"/>
        </w:rPr>
        <w:t xml:space="preserve"> for</w:t>
      </w:r>
      <w:r w:rsidRPr="00B765BE">
        <w:rPr>
          <w:bCs/>
          <w:sz w:val="28"/>
          <w:szCs w:val="28"/>
        </w:rPr>
        <w:t xml:space="preserve"> each individual option. This will need to consider the benefits and burdens including identified potential risks.</w:t>
      </w:r>
    </w:p>
    <w:p w:rsidRPr="00B765BE" w:rsidR="00B765BE" w:rsidRDefault="00B765BE" w14:paraId="21A09EFA" w14:textId="3C4BAAB1">
      <w:pPr>
        <w:spacing w:after="470"/>
        <w:rPr>
          <w:bCs/>
          <w:sz w:val="28"/>
          <w:szCs w:val="28"/>
        </w:rPr>
      </w:pPr>
      <w:r w:rsidRPr="00B765BE">
        <w:rPr>
          <w:bCs/>
          <w:sz w:val="28"/>
          <w:szCs w:val="28"/>
        </w:rPr>
        <w:t>In John’s case the options available that need to be considered are:</w:t>
      </w:r>
    </w:p>
    <w:p w:rsidRPr="00B765BE" w:rsidR="00B765BE" w:rsidP="00B765BE" w:rsidRDefault="009B2C41" w14:paraId="14897CFA" w14:textId="309F12DF">
      <w:pPr>
        <w:spacing w:after="0" w:line="267" w:lineRule="auto"/>
        <w:rPr>
          <w:bCs/>
          <w:sz w:val="28"/>
          <w:szCs w:val="28"/>
        </w:rPr>
      </w:pPr>
      <w:r w:rsidRPr="00B765BE">
        <w:rPr>
          <w:bCs/>
          <w:sz w:val="28"/>
          <w:szCs w:val="28"/>
        </w:rPr>
        <w:t xml:space="preserve">OPTION </w:t>
      </w:r>
      <w:r w:rsidRPr="00B765BE" w:rsidR="00B765BE">
        <w:rPr>
          <w:bCs/>
          <w:sz w:val="28"/>
          <w:szCs w:val="28"/>
        </w:rPr>
        <w:t>1</w:t>
      </w:r>
      <w:r w:rsidRPr="00B765BE">
        <w:rPr>
          <w:bCs/>
          <w:sz w:val="28"/>
          <w:szCs w:val="28"/>
        </w:rPr>
        <w:t xml:space="preserve">: For John Smith to continue living in his own home, with domiciliary care visits during the day rather than a live in care package. </w:t>
      </w:r>
    </w:p>
    <w:p w:rsidR="00B765BE" w:rsidP="00B765BE" w:rsidRDefault="00B765BE" w14:paraId="0D3D043D" w14:textId="77777777">
      <w:pPr>
        <w:spacing w:after="26"/>
        <w:ind w:left="10" w:right="-12" w:hanging="10"/>
        <w:rPr>
          <w:bCs/>
          <w:sz w:val="28"/>
          <w:szCs w:val="28"/>
        </w:rPr>
      </w:pPr>
    </w:p>
    <w:p w:rsidRPr="00B765BE" w:rsidR="00B765BE" w:rsidP="00B765BE" w:rsidRDefault="00B765BE" w14:paraId="0BA97048" w14:textId="2B7A4886">
      <w:pPr>
        <w:spacing w:after="26"/>
        <w:ind w:left="10" w:right="-12" w:hanging="10"/>
        <w:rPr>
          <w:bCs/>
          <w:sz w:val="28"/>
          <w:szCs w:val="28"/>
        </w:rPr>
      </w:pPr>
      <w:r w:rsidRPr="00B765BE">
        <w:rPr>
          <w:bCs/>
          <w:sz w:val="28"/>
          <w:szCs w:val="28"/>
        </w:rPr>
        <w:t xml:space="preserve">Option 2: For John Smith to remain living at home with a live in care package either through a commissioned service or a direct payment. </w:t>
      </w:r>
    </w:p>
    <w:p w:rsidR="00B765BE" w:rsidP="00B765BE" w:rsidRDefault="00B765BE" w14:paraId="1F897EFB" w14:textId="77777777">
      <w:pPr>
        <w:spacing w:after="26"/>
        <w:ind w:left="10" w:right="181" w:hanging="10"/>
        <w:rPr>
          <w:bCs/>
          <w:sz w:val="28"/>
          <w:szCs w:val="28"/>
        </w:rPr>
      </w:pPr>
    </w:p>
    <w:p w:rsidRPr="00B765BE" w:rsidR="00B765BE" w:rsidP="00B765BE" w:rsidRDefault="00B765BE" w14:paraId="05770A21" w14:textId="78D85D8A">
      <w:pPr>
        <w:spacing w:after="26"/>
        <w:ind w:left="10" w:right="181" w:hanging="10"/>
        <w:rPr>
          <w:bCs/>
          <w:sz w:val="28"/>
          <w:szCs w:val="28"/>
        </w:rPr>
      </w:pPr>
      <w:r w:rsidRPr="00B765BE">
        <w:rPr>
          <w:bCs/>
          <w:sz w:val="28"/>
          <w:szCs w:val="28"/>
        </w:rPr>
        <w:t xml:space="preserve">Option 3: For John Smith to live with his grandson David with additional support provided through a domiciliary care package. </w:t>
      </w:r>
    </w:p>
    <w:p w:rsidR="00B765BE" w:rsidP="00B765BE" w:rsidRDefault="00B765BE" w14:paraId="3D18CE1E" w14:textId="77777777">
      <w:pPr>
        <w:spacing w:after="26"/>
        <w:ind w:left="10" w:right="-12" w:hanging="10"/>
        <w:rPr>
          <w:bCs/>
          <w:sz w:val="28"/>
          <w:szCs w:val="28"/>
        </w:rPr>
      </w:pPr>
    </w:p>
    <w:p w:rsidRPr="00B765BE" w:rsidR="00B765BE" w:rsidP="00B765BE" w:rsidRDefault="00B765BE" w14:paraId="0B3757E1" w14:textId="78D922CB">
      <w:pPr>
        <w:spacing w:after="26"/>
        <w:ind w:left="10" w:right="-12" w:hanging="10"/>
        <w:rPr>
          <w:bCs/>
          <w:sz w:val="28"/>
          <w:szCs w:val="28"/>
        </w:rPr>
      </w:pPr>
      <w:r w:rsidRPr="00B765BE">
        <w:rPr>
          <w:bCs/>
          <w:sz w:val="28"/>
          <w:szCs w:val="28"/>
        </w:rPr>
        <w:t xml:space="preserve">Option 4: For John Smith to be provided with alternative accommodation, within a very sheltered housing scheme with a domiciliary care package.  </w:t>
      </w:r>
    </w:p>
    <w:p w:rsidR="00B765BE" w:rsidP="00B765BE" w:rsidRDefault="00B765BE" w14:paraId="7BB475BF" w14:textId="77777777">
      <w:pPr>
        <w:spacing w:after="162"/>
        <w:rPr>
          <w:bCs/>
          <w:sz w:val="28"/>
          <w:szCs w:val="28"/>
        </w:rPr>
      </w:pPr>
    </w:p>
    <w:p w:rsidRPr="00B765BE" w:rsidR="00B765BE" w:rsidP="00B765BE" w:rsidRDefault="00B765BE" w14:paraId="209E3C40" w14:textId="7BA81ED9">
      <w:pPr>
        <w:spacing w:after="162"/>
        <w:rPr>
          <w:bCs/>
          <w:sz w:val="28"/>
          <w:szCs w:val="28"/>
        </w:rPr>
      </w:pPr>
      <w:r w:rsidRPr="00B765BE">
        <w:rPr>
          <w:bCs/>
          <w:sz w:val="28"/>
          <w:szCs w:val="28"/>
        </w:rPr>
        <w:t xml:space="preserve">Option 5: For John to move to a residential / nursing care home.  </w:t>
      </w:r>
    </w:p>
    <w:p w:rsidR="00B765BE" w:rsidP="00B765BE" w:rsidRDefault="00B765BE" w14:paraId="4B94221F" w14:textId="77777777">
      <w:pPr>
        <w:spacing w:after="0"/>
        <w:ind w:left="180"/>
        <w:rPr>
          <w:b/>
          <w:sz w:val="28"/>
          <w:szCs w:val="28"/>
        </w:rPr>
      </w:pPr>
    </w:p>
    <w:tbl>
      <w:tblPr>
        <w:tblW w:w="11840" w:type="dxa"/>
        <w:tblCellSpacing w:w="0" w:type="dxa"/>
        <w:shd w:val="clear" w:color="auto" w:fill="FFFFFF"/>
        <w:tblCellMar>
          <w:left w:w="0" w:type="dxa"/>
          <w:right w:w="0" w:type="dxa"/>
        </w:tblCellMar>
        <w:tblLook w:val="04A0" w:firstRow="1" w:lastRow="0" w:firstColumn="1" w:lastColumn="0" w:noHBand="0" w:noVBand="1"/>
      </w:tblPr>
      <w:tblGrid>
        <w:gridCol w:w="11840"/>
      </w:tblGrid>
      <w:tr w:rsidRPr="00B765BE" w:rsidR="00BB6420" w:rsidTr="00D71997" w14:paraId="7564607B" w14:textId="77777777">
        <w:trPr>
          <w:tblCellSpacing w:w="0" w:type="dxa"/>
        </w:trPr>
        <w:tc>
          <w:tcPr>
            <w:tcW w:w="0" w:type="auto"/>
            <w:tcBorders>
              <w:top w:val="nil"/>
              <w:left w:val="nil"/>
              <w:bottom w:val="nil"/>
              <w:right w:val="nil"/>
            </w:tcBorders>
            <w:shd w:val="clear" w:color="auto" w:fill="FFFFFF"/>
            <w:tcMar>
              <w:top w:w="180" w:type="dxa"/>
              <w:left w:w="120" w:type="dxa"/>
              <w:bottom w:w="150" w:type="dxa"/>
              <w:right w:w="120" w:type="dxa"/>
            </w:tcMar>
            <w:hideMark/>
          </w:tcPr>
          <w:p w:rsidRPr="00BB6420" w:rsidR="00BB6420" w:rsidP="00D71997" w:rsidRDefault="00BB6420" w14:paraId="05AF51A3" w14:textId="473BD56C">
            <w:pPr>
              <w:spacing w:after="0" w:line="240" w:lineRule="auto"/>
              <w:outlineLvl w:val="3"/>
              <w:rPr>
                <w:rFonts w:ascii="Arial" w:hAnsi="Arial" w:eastAsia="Times New Roman" w:cs="Arial"/>
                <w:color w:val="auto"/>
                <w:kern w:val="0"/>
                <w:sz w:val="21"/>
                <w:szCs w:val="21"/>
                <w14:ligatures w14:val="none"/>
              </w:rPr>
            </w:pPr>
            <w:r w:rsidRPr="00BB6420">
              <w:rPr>
                <w:rFonts w:ascii="Arial" w:hAnsi="Arial" w:eastAsia="Times New Roman" w:cs="Arial"/>
                <w:color w:val="auto"/>
                <w:kern w:val="0"/>
                <w:sz w:val="21"/>
                <w:szCs w:val="21"/>
                <w14:ligatures w14:val="none"/>
              </w:rPr>
              <w:t xml:space="preserve">On Suffolk County Council’s LAS recording </w:t>
            </w:r>
            <w:proofErr w:type="gramStart"/>
            <w:r w:rsidRPr="00BB6420">
              <w:rPr>
                <w:rFonts w:ascii="Arial" w:hAnsi="Arial" w:eastAsia="Times New Roman" w:cs="Arial"/>
                <w:color w:val="auto"/>
                <w:kern w:val="0"/>
                <w:sz w:val="21"/>
                <w:szCs w:val="21"/>
                <w14:ligatures w14:val="none"/>
              </w:rPr>
              <w:t>system</w:t>
            </w:r>
            <w:proofErr w:type="gramEnd"/>
            <w:r w:rsidRPr="00BB6420">
              <w:rPr>
                <w:rFonts w:ascii="Arial" w:hAnsi="Arial" w:eastAsia="Times New Roman" w:cs="Arial"/>
                <w:color w:val="auto"/>
                <w:kern w:val="0"/>
                <w:sz w:val="21"/>
                <w:szCs w:val="21"/>
                <w14:ligatures w14:val="none"/>
              </w:rPr>
              <w:t xml:space="preserve"> the balance sheet is as below.</w:t>
            </w:r>
          </w:p>
          <w:p w:rsidRPr="00BB6420" w:rsidR="00BB6420" w:rsidP="00D71997" w:rsidRDefault="00BB6420" w14:paraId="4A01E301" w14:textId="77777777">
            <w:pPr>
              <w:spacing w:after="0" w:line="240" w:lineRule="auto"/>
              <w:outlineLvl w:val="3"/>
              <w:rPr>
                <w:rFonts w:ascii="Arial" w:hAnsi="Arial" w:eastAsia="Times New Roman" w:cs="Arial"/>
                <w:color w:val="006020"/>
                <w:kern w:val="0"/>
                <w:sz w:val="21"/>
                <w:szCs w:val="21"/>
                <w14:ligatures w14:val="none"/>
              </w:rPr>
            </w:pPr>
          </w:p>
          <w:p w:rsidRPr="00B765BE" w:rsidR="00BB6420" w:rsidP="00D71997" w:rsidRDefault="00BB6420" w14:paraId="72B3C39D" w14:textId="1FEA96FE">
            <w:pPr>
              <w:spacing w:after="0" w:line="240" w:lineRule="auto"/>
              <w:outlineLvl w:val="3"/>
              <w:rPr>
                <w:rFonts w:ascii="Arial" w:hAnsi="Arial" w:eastAsia="Times New Roman" w:cs="Arial"/>
                <w:b/>
                <w:bCs/>
                <w:color w:val="006020"/>
                <w:kern w:val="0"/>
                <w:sz w:val="21"/>
                <w:szCs w:val="21"/>
                <w14:ligatures w14:val="none"/>
              </w:rPr>
            </w:pPr>
            <w:r w:rsidRPr="00B765BE">
              <w:rPr>
                <w:rFonts w:ascii="Arial" w:hAnsi="Arial" w:eastAsia="Times New Roman" w:cs="Arial"/>
                <w:b/>
                <w:bCs/>
                <w:color w:val="006020"/>
                <w:kern w:val="0"/>
                <w:sz w:val="21"/>
                <w:szCs w:val="21"/>
                <w14:ligatures w14:val="none"/>
              </w:rPr>
              <w:t>Balance Sheet</w:t>
            </w:r>
          </w:p>
        </w:tc>
      </w:tr>
    </w:tbl>
    <w:p w:rsidRPr="00B765BE" w:rsidR="00BB6420" w:rsidP="00BB6420" w:rsidRDefault="00BB6420" w14:paraId="26D65807" w14:textId="77777777">
      <w:pPr>
        <w:spacing w:after="0" w:line="240" w:lineRule="auto"/>
        <w:rPr>
          <w:rFonts w:ascii="Times New Roman" w:hAnsi="Times New Roman" w:eastAsia="Times New Roman" w:cs="Times New Roman"/>
          <w:vanish/>
          <w:color w:val="auto"/>
          <w:kern w:val="0"/>
          <w:sz w:val="24"/>
          <w:szCs w:val="24"/>
          <w14:ligatures w14:val="none"/>
        </w:rPr>
      </w:pPr>
    </w:p>
    <w:tbl>
      <w:tblPr>
        <w:tblW w:w="11840" w:type="dxa"/>
        <w:tblCellSpacing w:w="0" w:type="dxa"/>
        <w:shd w:val="clear" w:color="auto" w:fill="FFFFFF"/>
        <w:tblCellMar>
          <w:left w:w="0" w:type="dxa"/>
          <w:right w:w="0" w:type="dxa"/>
        </w:tblCellMar>
        <w:tblLook w:val="04A0" w:firstRow="1" w:lastRow="0" w:firstColumn="1" w:lastColumn="0" w:noHBand="0" w:noVBand="1"/>
      </w:tblPr>
      <w:tblGrid>
        <w:gridCol w:w="11840"/>
      </w:tblGrid>
      <w:tr w:rsidRPr="00B765BE" w:rsidR="00BB6420" w:rsidTr="00D71997" w14:paraId="64446AA2" w14:textId="77777777">
        <w:trPr>
          <w:tblCellSpacing w:w="0" w:type="dxa"/>
        </w:trPr>
        <w:tc>
          <w:tcPr>
            <w:tcW w:w="6" w:type="dxa"/>
            <w:tcBorders>
              <w:top w:val="nil"/>
              <w:left w:val="nil"/>
              <w:bottom w:val="nil"/>
              <w:right w:val="nil"/>
            </w:tcBorders>
            <w:shd w:val="clear" w:color="auto" w:fill="FFFFFF"/>
            <w:tcMar>
              <w:top w:w="75" w:type="dxa"/>
              <w:left w:w="120" w:type="dxa"/>
              <w:bottom w:w="90" w:type="dxa"/>
              <w:right w:w="120" w:type="dxa"/>
            </w:tcMar>
            <w:hideMark/>
          </w:tcPr>
          <w:p w:rsidRPr="00B765BE" w:rsidR="00BB6420" w:rsidP="00D71997" w:rsidRDefault="00BB6420" w14:paraId="07FBDC70" w14:textId="77777777">
            <w:pPr>
              <w:spacing w:after="0" w:line="240" w:lineRule="auto"/>
              <w:rPr>
                <w:rFonts w:ascii="Tahoma" w:hAnsi="Tahoma" w:eastAsia="Times New Roman" w:cs="Tahoma"/>
                <w:color w:val="000040"/>
                <w:kern w:val="0"/>
                <w:sz w:val="17"/>
                <w:szCs w:val="17"/>
                <w14:ligatures w14:val="none"/>
              </w:rPr>
            </w:pPr>
            <w:r w:rsidRPr="00B765BE">
              <w:rPr>
                <w:rFonts w:ascii="Tahoma" w:hAnsi="Tahoma" w:eastAsia="Times New Roman" w:cs="Tahoma"/>
                <w:color w:val="000040"/>
                <w:kern w:val="0"/>
                <w:sz w:val="17"/>
                <w:szCs w:val="17"/>
                <w14:ligatures w14:val="none"/>
              </w:rPr>
              <w:t>Provide a summary of the options available</w:t>
            </w:r>
          </w:p>
        </w:tc>
      </w:tr>
    </w:tbl>
    <w:p w:rsidRPr="00B765BE" w:rsidR="00BB6420" w:rsidP="00BB6420" w:rsidRDefault="00BB6420" w14:paraId="2FBBC0AA" w14:textId="77777777">
      <w:pPr>
        <w:spacing w:after="0" w:line="240" w:lineRule="auto"/>
        <w:rPr>
          <w:rFonts w:ascii="Times New Roman" w:hAnsi="Times New Roman" w:eastAsia="Times New Roman" w:cs="Times New Roman"/>
          <w:vanish/>
          <w:color w:val="auto"/>
          <w:kern w:val="0"/>
          <w:sz w:val="24"/>
          <w:szCs w:val="24"/>
          <w14:ligatures w14:val="none"/>
        </w:rPr>
      </w:pPr>
    </w:p>
    <w:tbl>
      <w:tblPr>
        <w:tblW w:w="12580" w:type="dxa"/>
        <w:tblCellSpacing w:w="0" w:type="dxa"/>
        <w:shd w:val="clear" w:color="auto" w:fill="FFFFFF"/>
        <w:tblCellMar>
          <w:left w:w="0" w:type="dxa"/>
          <w:right w:w="0" w:type="dxa"/>
        </w:tblCellMar>
        <w:tblLook w:val="04A0" w:firstRow="1" w:lastRow="0" w:firstColumn="1" w:lastColumn="0" w:noHBand="0" w:noVBand="1"/>
      </w:tblPr>
      <w:tblGrid>
        <w:gridCol w:w="12870"/>
      </w:tblGrid>
      <w:tr w:rsidRPr="00B765BE" w:rsidR="00BB6420" w:rsidTr="00D71997" w14:paraId="5E675035" w14:textId="77777777">
        <w:trPr>
          <w:tblCellSpacing w:w="0" w:type="dxa"/>
        </w:trPr>
        <w:tc>
          <w:tcPr>
            <w:tcW w:w="0" w:type="auto"/>
            <w:tcBorders>
              <w:top w:val="nil"/>
              <w:left w:val="nil"/>
              <w:bottom w:val="nil"/>
              <w:right w:val="nil"/>
            </w:tcBorders>
            <w:shd w:val="clear" w:color="auto" w:fill="auto"/>
            <w:tcMar>
              <w:top w:w="30" w:type="dxa"/>
              <w:left w:w="90" w:type="dxa"/>
              <w:bottom w:w="45" w:type="dxa"/>
              <w:right w:w="90" w:type="dxa"/>
            </w:tcMar>
            <w:hideMark/>
          </w:tcPr>
          <w:tbl>
            <w:tblPr>
              <w:tblW w:w="12679" w:type="dxa"/>
              <w:tblCellSpacing w:w="0" w:type="dxa"/>
              <w:tblBorders>
                <w:top w:val="single" w:color="7F9DB9" w:sz="6" w:space="0"/>
                <w:left w:val="single" w:color="7F9DB9" w:sz="6" w:space="0"/>
                <w:bottom w:val="single" w:color="7F9DB9" w:sz="2" w:space="0"/>
                <w:right w:val="single" w:color="7F9DB9" w:sz="2" w:space="0"/>
              </w:tblBorders>
              <w:tblCellMar>
                <w:top w:w="20" w:type="dxa"/>
                <w:left w:w="20" w:type="dxa"/>
                <w:bottom w:w="20" w:type="dxa"/>
                <w:right w:w="20" w:type="dxa"/>
              </w:tblCellMar>
              <w:tblLook w:val="04A0" w:firstRow="1" w:lastRow="0" w:firstColumn="1" w:lastColumn="0" w:noHBand="0" w:noVBand="1"/>
            </w:tblPr>
            <w:tblGrid>
              <w:gridCol w:w="3333"/>
              <w:gridCol w:w="2965"/>
              <w:gridCol w:w="3165"/>
              <w:gridCol w:w="3216"/>
            </w:tblGrid>
            <w:tr w:rsidRPr="00B765BE" w:rsidR="00BB6420" w:rsidTr="00D71997" w14:paraId="4666C528" w14:textId="77777777">
              <w:trPr>
                <w:tblCellSpacing w:w="0" w:type="dxa"/>
              </w:trPr>
              <w:tc>
                <w:tcPr>
                  <w:tcW w:w="3333" w:type="dxa"/>
                  <w:tcBorders>
                    <w:top w:val="single" w:color="7F9DB9" w:sz="2" w:space="0"/>
                    <w:left w:val="single" w:color="7F9DB9" w:sz="2" w:space="0"/>
                    <w:bottom w:val="single" w:color="7F9DB9" w:sz="6" w:space="0"/>
                    <w:right w:val="single" w:color="7F9DB9" w:sz="6" w:space="0"/>
                  </w:tcBorders>
                  <w:shd w:val="clear" w:color="auto" w:fill="F0F0F0"/>
                  <w:tcMar>
                    <w:top w:w="30" w:type="dxa"/>
                    <w:left w:w="60" w:type="dxa"/>
                    <w:bottom w:w="60" w:type="dxa"/>
                    <w:right w:w="60" w:type="dxa"/>
                  </w:tcMar>
                  <w:hideMark/>
                </w:tcPr>
                <w:p w:rsidRPr="00B765BE" w:rsidR="00BB6420" w:rsidP="00D71997" w:rsidRDefault="00BB6420" w14:paraId="50DAFE3E" w14:textId="77777777">
                  <w:pPr>
                    <w:spacing w:after="0" w:line="276" w:lineRule="auto"/>
                    <w:rPr>
                      <w:rFonts w:ascii="Tahoma" w:hAnsi="Tahoma" w:eastAsia="Times New Roman" w:cs="Tahoma"/>
                      <w:color w:val="000040"/>
                      <w:kern w:val="0"/>
                      <w:sz w:val="17"/>
                      <w:szCs w:val="17"/>
                      <w14:ligatures w14:val="none"/>
                    </w:rPr>
                  </w:pPr>
                  <w:r w:rsidRPr="00B765BE">
                    <w:rPr>
                      <w:rFonts w:ascii="Tahoma" w:hAnsi="Tahoma" w:eastAsia="Times New Roman" w:cs="Tahoma"/>
                      <w:color w:val="000040"/>
                      <w:kern w:val="0"/>
                      <w:sz w:val="17"/>
                      <w:szCs w:val="17"/>
                      <w14:ligatures w14:val="none"/>
                    </w:rPr>
                    <w:t>Option</w:t>
                  </w:r>
                </w:p>
                <w:p w:rsidRPr="00B765BE" w:rsidR="00BB6420" w:rsidP="00D71997" w:rsidRDefault="00BB6420" w14:paraId="7C586B1C" w14:textId="77777777">
                  <w:pPr>
                    <w:spacing w:after="0" w:line="276" w:lineRule="auto"/>
                    <w:rPr>
                      <w:rFonts w:ascii="Tahoma" w:hAnsi="Tahoma" w:eastAsia="Times New Roman" w:cs="Tahoma"/>
                      <w:color w:val="888888"/>
                      <w:kern w:val="0"/>
                      <w:sz w:val="15"/>
                      <w:szCs w:val="15"/>
                      <w14:ligatures w14:val="none"/>
                    </w:rPr>
                  </w:pPr>
                  <w:r w:rsidRPr="00B765BE">
                    <w:rPr>
                      <w:rFonts w:ascii="Tahoma" w:hAnsi="Tahoma" w:eastAsia="Times New Roman" w:cs="Tahoma"/>
                      <w:color w:val="888888"/>
                      <w:kern w:val="0"/>
                      <w:sz w:val="15"/>
                      <w:szCs w:val="15"/>
                      <w14:ligatures w14:val="none"/>
                    </w:rPr>
                    <w:t>List the options available, including the option of doing nothing</w:t>
                  </w:r>
                </w:p>
              </w:tc>
              <w:tc>
                <w:tcPr>
                  <w:tcW w:w="2965" w:type="dxa"/>
                  <w:tcBorders>
                    <w:top w:val="single" w:color="7F9DB9" w:sz="2" w:space="0"/>
                    <w:left w:val="single" w:color="7F9DB9" w:sz="2" w:space="0"/>
                    <w:bottom w:val="single" w:color="7F9DB9" w:sz="6" w:space="0"/>
                    <w:right w:val="single" w:color="7F9DB9" w:sz="6" w:space="0"/>
                  </w:tcBorders>
                  <w:shd w:val="clear" w:color="auto" w:fill="F0F0F0"/>
                  <w:tcMar>
                    <w:top w:w="30" w:type="dxa"/>
                    <w:left w:w="60" w:type="dxa"/>
                    <w:bottom w:w="60" w:type="dxa"/>
                    <w:right w:w="60" w:type="dxa"/>
                  </w:tcMar>
                  <w:hideMark/>
                </w:tcPr>
                <w:p w:rsidRPr="00B765BE" w:rsidR="00BB6420" w:rsidP="00D71997" w:rsidRDefault="00BB6420" w14:paraId="67120229" w14:textId="77777777">
                  <w:pPr>
                    <w:spacing w:after="0" w:line="276" w:lineRule="auto"/>
                    <w:rPr>
                      <w:rFonts w:ascii="Tahoma" w:hAnsi="Tahoma" w:eastAsia="Times New Roman" w:cs="Tahoma"/>
                      <w:color w:val="000040"/>
                      <w:kern w:val="0"/>
                      <w:sz w:val="17"/>
                      <w:szCs w:val="17"/>
                      <w14:ligatures w14:val="none"/>
                    </w:rPr>
                  </w:pPr>
                  <w:r w:rsidRPr="00B765BE">
                    <w:rPr>
                      <w:rFonts w:ascii="Tahoma" w:hAnsi="Tahoma" w:eastAsia="Times New Roman" w:cs="Tahoma"/>
                      <w:color w:val="000040"/>
                      <w:kern w:val="0"/>
                      <w:sz w:val="17"/>
                      <w:szCs w:val="17"/>
                      <w14:ligatures w14:val="none"/>
                    </w:rPr>
                    <w:t>What would work well?</w:t>
                  </w:r>
                </w:p>
                <w:p w:rsidRPr="00B765BE" w:rsidR="00BB6420" w:rsidP="00D71997" w:rsidRDefault="00BB6420" w14:paraId="38E9DBCD" w14:textId="77777777">
                  <w:pPr>
                    <w:spacing w:after="0" w:line="276" w:lineRule="auto"/>
                    <w:rPr>
                      <w:rFonts w:ascii="Tahoma" w:hAnsi="Tahoma" w:eastAsia="Times New Roman" w:cs="Tahoma"/>
                      <w:color w:val="888888"/>
                      <w:kern w:val="0"/>
                      <w:sz w:val="15"/>
                      <w:szCs w:val="15"/>
                      <w14:ligatures w14:val="none"/>
                    </w:rPr>
                  </w:pPr>
                  <w:r w:rsidRPr="00B765BE">
                    <w:rPr>
                      <w:rFonts w:ascii="Tahoma" w:hAnsi="Tahoma" w:eastAsia="Times New Roman" w:cs="Tahoma"/>
                      <w:color w:val="888888"/>
                      <w:kern w:val="0"/>
                      <w:sz w:val="15"/>
                      <w:szCs w:val="15"/>
                      <w14:ligatures w14:val="none"/>
                    </w:rPr>
                    <w:t>Detail existing strengths, how this option supports the person's views etc</w:t>
                  </w:r>
                </w:p>
              </w:tc>
              <w:tc>
                <w:tcPr>
                  <w:tcW w:w="3165" w:type="dxa"/>
                  <w:tcBorders>
                    <w:top w:val="single" w:color="7F9DB9" w:sz="2" w:space="0"/>
                    <w:left w:val="single" w:color="7F9DB9" w:sz="2" w:space="0"/>
                    <w:bottom w:val="single" w:color="7F9DB9" w:sz="6" w:space="0"/>
                    <w:right w:val="single" w:color="7F9DB9" w:sz="6" w:space="0"/>
                  </w:tcBorders>
                  <w:shd w:val="clear" w:color="auto" w:fill="F0F0F0"/>
                  <w:tcMar>
                    <w:top w:w="30" w:type="dxa"/>
                    <w:left w:w="60" w:type="dxa"/>
                    <w:bottom w:w="60" w:type="dxa"/>
                    <w:right w:w="60" w:type="dxa"/>
                  </w:tcMar>
                  <w:hideMark/>
                </w:tcPr>
                <w:p w:rsidRPr="00B765BE" w:rsidR="00BB6420" w:rsidP="00D71997" w:rsidRDefault="00BB6420" w14:paraId="7EA21971" w14:textId="77777777">
                  <w:pPr>
                    <w:spacing w:after="0" w:line="276" w:lineRule="auto"/>
                    <w:rPr>
                      <w:rFonts w:ascii="Tahoma" w:hAnsi="Tahoma" w:eastAsia="Times New Roman" w:cs="Tahoma"/>
                      <w:color w:val="000040"/>
                      <w:kern w:val="0"/>
                      <w:sz w:val="17"/>
                      <w:szCs w:val="17"/>
                      <w14:ligatures w14:val="none"/>
                    </w:rPr>
                  </w:pPr>
                  <w:r w:rsidRPr="00B765BE">
                    <w:rPr>
                      <w:rFonts w:ascii="Tahoma" w:hAnsi="Tahoma" w:eastAsia="Times New Roman" w:cs="Tahoma"/>
                      <w:color w:val="000040"/>
                      <w:kern w:val="0"/>
                      <w:sz w:val="17"/>
                      <w:szCs w:val="17"/>
                      <w14:ligatures w14:val="none"/>
                    </w:rPr>
                    <w:t>What would still be a worry?</w:t>
                  </w:r>
                </w:p>
                <w:p w:rsidRPr="00B765BE" w:rsidR="00BB6420" w:rsidP="00D71997" w:rsidRDefault="00BB6420" w14:paraId="2BB6F951" w14:textId="77777777">
                  <w:pPr>
                    <w:spacing w:after="0" w:line="276" w:lineRule="auto"/>
                    <w:rPr>
                      <w:rFonts w:ascii="Tahoma" w:hAnsi="Tahoma" w:eastAsia="Times New Roman" w:cs="Tahoma"/>
                      <w:color w:val="888888"/>
                      <w:kern w:val="0"/>
                      <w:sz w:val="15"/>
                      <w:szCs w:val="15"/>
                      <w14:ligatures w14:val="none"/>
                    </w:rPr>
                  </w:pPr>
                  <w:r w:rsidRPr="00B765BE">
                    <w:rPr>
                      <w:rFonts w:ascii="Tahoma" w:hAnsi="Tahoma" w:eastAsia="Times New Roman" w:cs="Tahoma"/>
                      <w:color w:val="888888"/>
                      <w:kern w:val="0"/>
                      <w:sz w:val="15"/>
                      <w:szCs w:val="15"/>
                      <w14:ligatures w14:val="none"/>
                    </w:rPr>
                    <w:t>Who is worried? What are they worried about? Is this option more restrictive?</w:t>
                  </w:r>
                </w:p>
              </w:tc>
              <w:tc>
                <w:tcPr>
                  <w:tcW w:w="3216" w:type="dxa"/>
                  <w:tcBorders>
                    <w:top w:val="single" w:color="7F9DB9" w:sz="2" w:space="0"/>
                    <w:left w:val="single" w:color="7F9DB9" w:sz="2" w:space="0"/>
                    <w:bottom w:val="single" w:color="7F9DB9" w:sz="6" w:space="0"/>
                    <w:right w:val="single" w:color="7F9DB9" w:sz="6" w:space="0"/>
                  </w:tcBorders>
                  <w:shd w:val="clear" w:color="auto" w:fill="F0F0F0"/>
                  <w:tcMar>
                    <w:top w:w="30" w:type="dxa"/>
                    <w:left w:w="60" w:type="dxa"/>
                    <w:bottom w:w="60" w:type="dxa"/>
                    <w:right w:w="60" w:type="dxa"/>
                  </w:tcMar>
                  <w:hideMark/>
                </w:tcPr>
                <w:p w:rsidRPr="00B765BE" w:rsidR="00BB6420" w:rsidP="00D71997" w:rsidRDefault="00BB6420" w14:paraId="2587563E" w14:textId="77777777">
                  <w:pPr>
                    <w:spacing w:after="0" w:line="276" w:lineRule="auto"/>
                    <w:rPr>
                      <w:rFonts w:ascii="Tahoma" w:hAnsi="Tahoma" w:eastAsia="Times New Roman" w:cs="Tahoma"/>
                      <w:color w:val="000040"/>
                      <w:kern w:val="0"/>
                      <w:sz w:val="17"/>
                      <w:szCs w:val="17"/>
                      <w14:ligatures w14:val="none"/>
                    </w:rPr>
                  </w:pPr>
                  <w:r w:rsidRPr="00B765BE">
                    <w:rPr>
                      <w:rFonts w:ascii="Tahoma" w:hAnsi="Tahoma" w:eastAsia="Times New Roman" w:cs="Tahoma"/>
                      <w:color w:val="000040"/>
                      <w:kern w:val="0"/>
                      <w:sz w:val="17"/>
                      <w:szCs w:val="17"/>
                      <w14:ligatures w14:val="none"/>
                    </w:rPr>
                    <w:t xml:space="preserve">Actions that could help overcome any </w:t>
                  </w:r>
                  <w:proofErr w:type="gramStart"/>
                  <w:r w:rsidRPr="00B765BE">
                    <w:rPr>
                      <w:rFonts w:ascii="Tahoma" w:hAnsi="Tahoma" w:eastAsia="Times New Roman" w:cs="Tahoma"/>
                      <w:color w:val="000040"/>
                      <w:kern w:val="0"/>
                      <w:sz w:val="17"/>
                      <w:szCs w:val="17"/>
                      <w14:ligatures w14:val="none"/>
                    </w:rPr>
                    <w:t>worries</w:t>
                  </w:r>
                  <w:proofErr w:type="gramEnd"/>
                </w:p>
                <w:p w:rsidRPr="00B765BE" w:rsidR="00BB6420" w:rsidP="00D71997" w:rsidRDefault="00BB6420" w14:paraId="54045CBE" w14:textId="77777777">
                  <w:pPr>
                    <w:spacing w:after="0" w:line="276" w:lineRule="auto"/>
                    <w:rPr>
                      <w:rFonts w:ascii="Tahoma" w:hAnsi="Tahoma" w:eastAsia="Times New Roman" w:cs="Tahoma"/>
                      <w:color w:val="888888"/>
                      <w:kern w:val="0"/>
                      <w:sz w:val="15"/>
                      <w:szCs w:val="15"/>
                      <w14:ligatures w14:val="none"/>
                    </w:rPr>
                  </w:pPr>
                  <w:r w:rsidRPr="00B765BE">
                    <w:rPr>
                      <w:rFonts w:ascii="Tahoma" w:hAnsi="Tahoma" w:eastAsia="Times New Roman" w:cs="Tahoma"/>
                      <w:color w:val="888888"/>
                      <w:kern w:val="0"/>
                      <w:sz w:val="15"/>
                      <w:szCs w:val="15"/>
                      <w14:ligatures w14:val="none"/>
                    </w:rPr>
                    <w:lastRenderedPageBreak/>
                    <w:t>What practical steps could be taken to mitigate the worries?</w:t>
                  </w:r>
                </w:p>
              </w:tc>
            </w:tr>
          </w:tbl>
          <w:p w:rsidRPr="00B765BE" w:rsidR="00BB6420" w:rsidP="00D71997" w:rsidRDefault="00BB6420" w14:paraId="6FA66B17" w14:textId="77777777">
            <w:pPr>
              <w:spacing w:after="0" w:line="240" w:lineRule="auto"/>
              <w:rPr>
                <w:rFonts w:ascii="Tahoma" w:hAnsi="Tahoma" w:eastAsia="Times New Roman" w:cs="Tahoma"/>
                <w:kern w:val="0"/>
                <w:sz w:val="17"/>
                <w:szCs w:val="17"/>
                <w14:ligatures w14:val="none"/>
              </w:rPr>
            </w:pPr>
          </w:p>
        </w:tc>
      </w:tr>
    </w:tbl>
    <w:p w:rsidR="00B765BE" w:rsidP="00B765BE" w:rsidRDefault="00B765BE" w14:paraId="1C07A81C" w14:textId="77777777">
      <w:pPr>
        <w:spacing w:after="0"/>
        <w:ind w:left="180"/>
        <w:rPr>
          <w:b/>
          <w:sz w:val="28"/>
          <w:szCs w:val="28"/>
        </w:rPr>
      </w:pPr>
    </w:p>
    <w:p w:rsidR="00B765BE" w:rsidP="00B765BE" w:rsidRDefault="00B765BE" w14:paraId="771A7F64" w14:textId="77777777">
      <w:pPr>
        <w:spacing w:after="0"/>
        <w:ind w:left="180"/>
        <w:rPr>
          <w:b/>
          <w:sz w:val="28"/>
          <w:szCs w:val="28"/>
        </w:rPr>
      </w:pPr>
    </w:p>
    <w:p w:rsidR="00B765BE" w:rsidP="00B765BE" w:rsidRDefault="00B765BE" w14:paraId="6F0E041E" w14:textId="77777777">
      <w:pPr>
        <w:spacing w:after="0"/>
        <w:ind w:left="180"/>
        <w:rPr>
          <w:b/>
          <w:sz w:val="28"/>
          <w:szCs w:val="28"/>
        </w:rPr>
      </w:pPr>
    </w:p>
    <w:p w:rsidR="00B765BE" w:rsidP="00B765BE" w:rsidRDefault="00B765BE" w14:paraId="0EEAAD67" w14:textId="77777777">
      <w:pPr>
        <w:spacing w:after="0"/>
        <w:ind w:left="180"/>
        <w:rPr>
          <w:b/>
          <w:sz w:val="28"/>
          <w:szCs w:val="28"/>
        </w:rPr>
      </w:pPr>
    </w:p>
    <w:p w:rsidRPr="009B2C41" w:rsidR="00BB6420" w:rsidP="00B765BE" w:rsidRDefault="00BB6420" w14:paraId="2F84F4D0" w14:textId="15308FF9">
      <w:pPr>
        <w:spacing w:after="0"/>
        <w:ind w:left="180"/>
        <w:rPr>
          <w:bCs/>
          <w:sz w:val="28"/>
          <w:szCs w:val="28"/>
        </w:rPr>
      </w:pPr>
      <w:r w:rsidRPr="009B2C41">
        <w:rPr>
          <w:bCs/>
          <w:sz w:val="28"/>
          <w:szCs w:val="28"/>
        </w:rPr>
        <w:t>There are some specific decisions that cannot be made on behalf of someone who is deemed to lack capacity under the mental capacity act. These include:</w:t>
      </w:r>
    </w:p>
    <w:p w:rsidRPr="009B2C41" w:rsidR="00BB6420" w:rsidP="00B765BE" w:rsidRDefault="009B2C41" w14:paraId="171F1963" w14:textId="133B6D20">
      <w:pPr>
        <w:spacing w:after="0"/>
        <w:ind w:left="180"/>
        <w:rPr>
          <w:bCs/>
          <w:sz w:val="28"/>
          <w:szCs w:val="28"/>
        </w:rPr>
      </w:pPr>
      <w:r w:rsidRPr="009B2C41">
        <w:rPr>
          <w:bCs/>
          <w:sz w:val="28"/>
          <w:szCs w:val="28"/>
        </w:rPr>
        <w:t>Engaging in sex,</w:t>
      </w:r>
    </w:p>
    <w:p w:rsidRPr="009B2C41" w:rsidR="009B2C41" w:rsidP="00B765BE" w:rsidRDefault="009B2C41" w14:paraId="55369151" w14:textId="39417F73">
      <w:pPr>
        <w:spacing w:after="0"/>
        <w:ind w:left="180"/>
        <w:rPr>
          <w:bCs/>
          <w:sz w:val="28"/>
          <w:szCs w:val="28"/>
        </w:rPr>
      </w:pPr>
      <w:r w:rsidRPr="009B2C41">
        <w:rPr>
          <w:bCs/>
          <w:sz w:val="28"/>
          <w:szCs w:val="28"/>
        </w:rPr>
        <w:t>Marriage/civil partnership,</w:t>
      </w:r>
    </w:p>
    <w:p w:rsidRPr="009B2C41" w:rsidR="009B2C41" w:rsidP="00B765BE" w:rsidRDefault="009B2C41" w14:paraId="7DF244F6" w14:textId="41A15C89">
      <w:pPr>
        <w:spacing w:after="0"/>
        <w:ind w:left="180"/>
        <w:rPr>
          <w:bCs/>
          <w:sz w:val="28"/>
          <w:szCs w:val="28"/>
        </w:rPr>
      </w:pPr>
      <w:r w:rsidRPr="009B2C41">
        <w:rPr>
          <w:bCs/>
          <w:sz w:val="28"/>
          <w:szCs w:val="28"/>
        </w:rPr>
        <w:t>Divorce,</w:t>
      </w:r>
    </w:p>
    <w:p w:rsidRPr="009B2C41" w:rsidR="009B2C41" w:rsidP="009B2C41" w:rsidRDefault="009B2C41" w14:paraId="293A1CC0" w14:textId="4769EA40">
      <w:pPr>
        <w:spacing w:after="0"/>
        <w:ind w:left="180"/>
        <w:rPr>
          <w:bCs/>
          <w:sz w:val="28"/>
          <w:szCs w:val="28"/>
        </w:rPr>
      </w:pPr>
      <w:r w:rsidRPr="009B2C41">
        <w:rPr>
          <w:bCs/>
          <w:sz w:val="28"/>
          <w:szCs w:val="28"/>
        </w:rPr>
        <w:t>Adoption,</w:t>
      </w:r>
    </w:p>
    <w:p w:rsidR="009B2C41" w:rsidP="009B2C41" w:rsidRDefault="009B2C41" w14:paraId="1157E05B" w14:textId="418D5809">
      <w:pPr>
        <w:spacing w:after="0"/>
        <w:ind w:left="180"/>
        <w:rPr>
          <w:bCs/>
          <w:sz w:val="28"/>
          <w:szCs w:val="28"/>
        </w:rPr>
      </w:pPr>
      <w:r w:rsidRPr="009B2C41">
        <w:rPr>
          <w:bCs/>
          <w:sz w:val="28"/>
          <w:szCs w:val="28"/>
        </w:rPr>
        <w:t>Voting</w:t>
      </w:r>
      <w:r>
        <w:rPr>
          <w:bCs/>
          <w:sz w:val="28"/>
          <w:szCs w:val="28"/>
        </w:rPr>
        <w:t xml:space="preserve">. </w:t>
      </w:r>
    </w:p>
    <w:p w:rsidRPr="009B2C41" w:rsidR="009B2C41" w:rsidP="009B2C41" w:rsidRDefault="009B2C41" w14:paraId="049B2466" w14:textId="7F57F4C9">
      <w:pPr>
        <w:spacing w:after="0"/>
        <w:ind w:left="180"/>
        <w:rPr>
          <w:bCs/>
          <w:sz w:val="28"/>
          <w:szCs w:val="28"/>
        </w:rPr>
      </w:pPr>
      <w:r>
        <w:rPr>
          <w:bCs/>
          <w:sz w:val="28"/>
          <w:szCs w:val="28"/>
        </w:rPr>
        <w:t xml:space="preserve">This does not mean that a mental capacity assessment is not required in the first instance. For </w:t>
      </w:r>
      <w:proofErr w:type="gramStart"/>
      <w:r>
        <w:rPr>
          <w:bCs/>
          <w:sz w:val="28"/>
          <w:szCs w:val="28"/>
        </w:rPr>
        <w:t>example</w:t>
      </w:r>
      <w:proofErr w:type="gramEnd"/>
      <w:r>
        <w:rPr>
          <w:bCs/>
          <w:sz w:val="28"/>
          <w:szCs w:val="28"/>
        </w:rPr>
        <w:t xml:space="preserve"> if a concern is raised about a persons understanding of sexual relationships, a mental capacity assessment maybe required and may conclude the person lacks capacity to engage in sex. No one has the legal authority to consent on </w:t>
      </w:r>
      <w:proofErr w:type="spellStart"/>
      <w:r>
        <w:rPr>
          <w:bCs/>
          <w:sz w:val="28"/>
          <w:szCs w:val="28"/>
        </w:rPr>
        <w:t xml:space="preserve">another </w:t>
      </w:r>
      <w:proofErr w:type="gramStart"/>
      <w:r>
        <w:rPr>
          <w:bCs/>
          <w:sz w:val="28"/>
          <w:szCs w:val="28"/>
        </w:rPr>
        <w:t>persons</w:t>
      </w:r>
      <w:proofErr w:type="spellEnd"/>
      <w:proofErr w:type="gramEnd"/>
      <w:r>
        <w:rPr>
          <w:bCs/>
          <w:sz w:val="28"/>
          <w:szCs w:val="28"/>
        </w:rPr>
        <w:t xml:space="preserve"> behalf to engage in sex so therefore a best interest decision is not relevant, although safeguarding measures may still be required.</w:t>
      </w:r>
    </w:p>
    <w:p w:rsidR="009B2C41" w:rsidP="009B2C41" w:rsidRDefault="009B2C41" w14:paraId="52646DE3" w14:textId="77777777">
      <w:pPr>
        <w:spacing w:after="0"/>
        <w:ind w:left="180"/>
        <w:rPr>
          <w:b/>
          <w:sz w:val="28"/>
          <w:szCs w:val="28"/>
        </w:rPr>
      </w:pPr>
    </w:p>
    <w:p w:rsidR="00B765BE" w:rsidP="00B765BE" w:rsidRDefault="00B765BE" w14:paraId="09B536C3" w14:textId="77777777">
      <w:pPr>
        <w:spacing w:after="0"/>
        <w:ind w:left="180"/>
        <w:rPr>
          <w:b/>
          <w:sz w:val="28"/>
          <w:szCs w:val="28"/>
        </w:rPr>
      </w:pPr>
    </w:p>
    <w:p w:rsidR="00A969D7" w:rsidRDefault="00A969D7" w14:paraId="344DEBF7" w14:textId="4B96FFF3">
      <w:pPr>
        <w:spacing w:after="367"/>
      </w:pPr>
    </w:p>
    <w:p w:rsidR="00A969D7" w:rsidRDefault="00A969D7" w14:paraId="4669CCF0" w14:textId="4AA835E2">
      <w:pPr>
        <w:spacing w:after="0"/>
        <w:ind w:right="-552"/>
      </w:pPr>
    </w:p>
    <w:sectPr w:rsidR="00A969D7" w:rsidSect="00F80525">
      <w:headerReference w:type="even" r:id="rId8"/>
      <w:headerReference w:type="default" r:id="rId9"/>
      <w:headerReference w:type="first" r:id="rId10"/>
      <w:pgSz w:w="16840" w:h="11904" w:orient="landscape"/>
      <w:pgMar w:top="737" w:right="1440" w:bottom="736" w:left="186"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05B0B" w14:textId="77777777" w:rsidR="009B2C41" w:rsidRDefault="009B2C41">
      <w:pPr>
        <w:spacing w:after="0" w:line="240" w:lineRule="auto"/>
      </w:pPr>
      <w:r>
        <w:separator/>
      </w:r>
    </w:p>
  </w:endnote>
  <w:endnote w:type="continuationSeparator" w:id="0">
    <w:p w14:paraId="173BEAA6" w14:textId="77777777" w:rsidR="009B2C41" w:rsidRDefault="009B2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33A08" w14:textId="77777777" w:rsidR="009B2C41" w:rsidRDefault="009B2C41">
      <w:pPr>
        <w:spacing w:after="0" w:line="240" w:lineRule="auto"/>
      </w:pPr>
      <w:r>
        <w:separator/>
      </w:r>
    </w:p>
  </w:footnote>
  <w:footnote w:type="continuationSeparator" w:id="0">
    <w:p w14:paraId="10ED7722" w14:textId="77777777" w:rsidR="009B2C41" w:rsidRDefault="009B2C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F672E" w14:textId="77777777" w:rsidR="00A969D7" w:rsidRDefault="00A969D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0B8CD" w14:textId="77777777" w:rsidR="00A969D7" w:rsidRDefault="00A969D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301F0" w14:textId="77777777" w:rsidR="00A969D7" w:rsidRDefault="00A969D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012E7A"/>
    <w:multiLevelType w:val="hybridMultilevel"/>
    <w:tmpl w:val="54DE459A"/>
    <w:lvl w:ilvl="0" w:tplc="A77CC9E6">
      <w:start w:val="1"/>
      <w:numFmt w:val="bullet"/>
      <w:lvlText w:val="•"/>
      <w:lvlJc w:val="left"/>
      <w:pPr>
        <w:ind w:left="142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2318A58E">
      <w:start w:val="1"/>
      <w:numFmt w:val="bullet"/>
      <w:lvlText w:val="o"/>
      <w:lvlJc w:val="left"/>
      <w:pPr>
        <w:ind w:left="23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B58D34A">
      <w:start w:val="1"/>
      <w:numFmt w:val="bullet"/>
      <w:lvlText w:val="▪"/>
      <w:lvlJc w:val="left"/>
      <w:pPr>
        <w:ind w:left="30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50CD268">
      <w:start w:val="1"/>
      <w:numFmt w:val="bullet"/>
      <w:lvlText w:val="•"/>
      <w:lvlJc w:val="left"/>
      <w:pPr>
        <w:ind w:left="37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A6E2542">
      <w:start w:val="1"/>
      <w:numFmt w:val="bullet"/>
      <w:lvlText w:val="o"/>
      <w:lvlJc w:val="left"/>
      <w:pPr>
        <w:ind w:left="45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F446E08">
      <w:start w:val="1"/>
      <w:numFmt w:val="bullet"/>
      <w:lvlText w:val="▪"/>
      <w:lvlJc w:val="left"/>
      <w:pPr>
        <w:ind w:left="52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718F54E">
      <w:start w:val="1"/>
      <w:numFmt w:val="bullet"/>
      <w:lvlText w:val="•"/>
      <w:lvlJc w:val="left"/>
      <w:pPr>
        <w:ind w:left="59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07C35E6">
      <w:start w:val="1"/>
      <w:numFmt w:val="bullet"/>
      <w:lvlText w:val="o"/>
      <w:lvlJc w:val="left"/>
      <w:pPr>
        <w:ind w:left="66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89ADE7A">
      <w:start w:val="1"/>
      <w:numFmt w:val="bullet"/>
      <w:lvlText w:val="▪"/>
      <w:lvlJc w:val="left"/>
      <w:pPr>
        <w:ind w:left="73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52000E99"/>
    <w:multiLevelType w:val="hybridMultilevel"/>
    <w:tmpl w:val="638EC668"/>
    <w:lvl w:ilvl="0" w:tplc="1D58FF82">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B94202C">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A7A0CC6">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D5C24E4">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EA48498">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06638E8">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A2AE5DA">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616FAD8">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FB4FAA4">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6C293D6C"/>
    <w:multiLevelType w:val="hybridMultilevel"/>
    <w:tmpl w:val="15908236"/>
    <w:lvl w:ilvl="0" w:tplc="E6B2EF1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F634C0">
      <w:start w:val="1"/>
      <w:numFmt w:val="bullet"/>
      <w:lvlText w:val="o"/>
      <w:lvlJc w:val="left"/>
      <w:pPr>
        <w:ind w:left="13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4FEC242">
      <w:start w:val="1"/>
      <w:numFmt w:val="bullet"/>
      <w:lvlText w:val="▪"/>
      <w:lvlJc w:val="left"/>
      <w:pPr>
        <w:ind w:left="21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4DCB9DE">
      <w:start w:val="1"/>
      <w:numFmt w:val="bullet"/>
      <w:lvlText w:val="•"/>
      <w:lvlJc w:val="left"/>
      <w:pPr>
        <w:ind w:left="28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562718">
      <w:start w:val="1"/>
      <w:numFmt w:val="bullet"/>
      <w:lvlText w:val="o"/>
      <w:lvlJc w:val="left"/>
      <w:pPr>
        <w:ind w:left="3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2E83464">
      <w:start w:val="1"/>
      <w:numFmt w:val="bullet"/>
      <w:lvlText w:val="▪"/>
      <w:lvlJc w:val="left"/>
      <w:pPr>
        <w:ind w:left="4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BC66970">
      <w:start w:val="1"/>
      <w:numFmt w:val="bullet"/>
      <w:lvlText w:val="•"/>
      <w:lvlJc w:val="left"/>
      <w:pPr>
        <w:ind w:left="4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743C64">
      <w:start w:val="1"/>
      <w:numFmt w:val="bullet"/>
      <w:lvlText w:val="o"/>
      <w:lvlJc w:val="left"/>
      <w:pPr>
        <w:ind w:left="57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3B4D5CE">
      <w:start w:val="1"/>
      <w:numFmt w:val="bullet"/>
      <w:lvlText w:val="▪"/>
      <w:lvlJc w:val="left"/>
      <w:pPr>
        <w:ind w:left="6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605112306">
    <w:abstractNumId w:val="2"/>
  </w:num>
  <w:num w:numId="2" w16cid:durableId="472717568">
    <w:abstractNumId w:val="0"/>
  </w:num>
  <w:num w:numId="3" w16cid:durableId="11075094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9D7"/>
    <w:rsid w:val="00431BCF"/>
    <w:rsid w:val="009B2C41"/>
    <w:rsid w:val="00A35DA9"/>
    <w:rsid w:val="00A969D7"/>
    <w:rsid w:val="00B765BE"/>
    <w:rsid w:val="00BB6420"/>
    <w:rsid w:val="00F805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94AE9"/>
  <w15:docId w15:val="{1E3CF038-792B-4869-8CAC-294A7B8F3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4"/>
      <w:ind w:left="10" w:right="1" w:hanging="10"/>
      <w:jc w:val="center"/>
      <w:outlineLvl w:val="0"/>
    </w:pPr>
    <w:rPr>
      <w:rFonts w:ascii="Calibri" w:eastAsia="Calibri" w:hAnsi="Calibri" w:cs="Calibri"/>
      <w:b/>
      <w:color w:val="000000"/>
      <w:sz w:val="28"/>
      <w:u w:val="single" w:color="000000"/>
    </w:rPr>
  </w:style>
  <w:style w:type="paragraph" w:styleId="Heading4">
    <w:name w:val="heading 4"/>
    <w:basedOn w:val="Normal"/>
    <w:next w:val="Normal"/>
    <w:link w:val="Heading4Char"/>
    <w:uiPriority w:val="9"/>
    <w:semiHidden/>
    <w:unhideWhenUsed/>
    <w:qFormat/>
    <w:rsid w:val="00B765B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8"/>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Heading4Char">
    <w:name w:val="Heading 4 Char"/>
    <w:basedOn w:val="DefaultParagraphFont"/>
    <w:link w:val="Heading4"/>
    <w:uiPriority w:val="9"/>
    <w:semiHidden/>
    <w:rsid w:val="00B765BE"/>
    <w:rPr>
      <w:rFonts w:asciiTheme="majorHAnsi" w:eastAsiaTheme="majorEastAsia" w:hAnsiTheme="majorHAnsi" w:cstheme="majorBidi"/>
      <w:i/>
      <w:iCs/>
      <w:color w:val="2F5496" w:themeColor="accent1" w:themeShade="BF"/>
    </w:rPr>
  </w:style>
  <w:style w:type="paragraph" w:styleId="Footer">
    <w:name w:val="footer"/>
    <w:basedOn w:val="Normal"/>
    <w:link w:val="FooterChar"/>
    <w:uiPriority w:val="99"/>
    <w:unhideWhenUsed/>
    <w:rsid w:val="00BB64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6420"/>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822275">
      <w:bodyDiv w:val="1"/>
      <w:marLeft w:val="0"/>
      <w:marRight w:val="0"/>
      <w:marTop w:val="0"/>
      <w:marBottom w:val="0"/>
      <w:divBdr>
        <w:top w:val="none" w:sz="0" w:space="0" w:color="auto"/>
        <w:left w:val="none" w:sz="0" w:space="0" w:color="auto"/>
        <w:bottom w:val="none" w:sz="0" w:space="0" w:color="auto"/>
        <w:right w:val="none" w:sz="0" w:space="0" w:color="auto"/>
      </w:divBdr>
      <w:divsChild>
        <w:div w:id="1813787223">
          <w:marLeft w:val="0"/>
          <w:marRight w:val="0"/>
          <w:marTop w:val="60"/>
          <w:marBottom w:val="0"/>
          <w:divBdr>
            <w:top w:val="none" w:sz="0" w:space="0" w:color="auto"/>
            <w:left w:val="none" w:sz="0" w:space="0" w:color="auto"/>
            <w:bottom w:val="none" w:sz="0" w:space="0" w:color="auto"/>
            <w:right w:val="none" w:sz="0" w:space="0" w:color="auto"/>
          </w:divBdr>
        </w:div>
        <w:div w:id="960067470">
          <w:marLeft w:val="0"/>
          <w:marRight w:val="0"/>
          <w:marTop w:val="60"/>
          <w:marBottom w:val="0"/>
          <w:divBdr>
            <w:top w:val="none" w:sz="0" w:space="0" w:color="auto"/>
            <w:left w:val="none" w:sz="0" w:space="0" w:color="auto"/>
            <w:bottom w:val="none" w:sz="0" w:space="0" w:color="auto"/>
            <w:right w:val="none" w:sz="0" w:space="0" w:color="auto"/>
          </w:divBdr>
        </w:div>
        <w:div w:id="724722186">
          <w:marLeft w:val="0"/>
          <w:marRight w:val="0"/>
          <w:marTop w:val="60"/>
          <w:marBottom w:val="0"/>
          <w:divBdr>
            <w:top w:val="none" w:sz="0" w:space="0" w:color="auto"/>
            <w:left w:val="none" w:sz="0" w:space="0" w:color="auto"/>
            <w:bottom w:val="none" w:sz="0" w:space="0" w:color="auto"/>
            <w:right w:val="none" w:sz="0" w:space="0" w:color="auto"/>
          </w:divBdr>
        </w:div>
        <w:div w:id="917134022">
          <w:marLeft w:val="0"/>
          <w:marRight w:val="0"/>
          <w:marTop w:val="6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1443</Words>
  <Characters>8228</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2013-09-25-best-interests-guidance-balence-sheet-approach</vt:lpstr>
    </vt:vector>
  </TitlesOfParts>
  <Company/>
  <LinksUpToDate>false</LinksUpToDate>
  <CharactersWithSpaces>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balance-sheet-approach</dc:title>
  <dc:subject>
  </dc:subject>
  <dc:creator>Migratortron</dc:creator>
  <cp:keywords>
  </cp:keywords>
  <cp:lastModifiedBy>Jasper Bailey</cp:lastModifiedBy>
  <cp:revision>2</cp:revision>
  <dcterms:created xsi:type="dcterms:W3CDTF">2024-01-19T13:04:00Z</dcterms:created>
  <dcterms:modified xsi:type="dcterms:W3CDTF">2024-04-05T14:22:01Z</dcterms:modified>
</cp:coreProperties>
</file>